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8A30E" w14:textId="77777777" w:rsidR="00563200" w:rsidRPr="00512F62" w:rsidRDefault="00563200" w:rsidP="00563200">
      <w:pPr>
        <w:tabs>
          <w:tab w:val="left" w:pos="851"/>
        </w:tabs>
        <w:spacing w:line="240" w:lineRule="auto"/>
        <w:ind w:firstLine="851"/>
        <w:contextualSpacing/>
        <w:rPr>
          <w:rFonts w:eastAsia="Times New Roman" w:cs="Times New Roman"/>
          <w:szCs w:val="24"/>
        </w:rPr>
      </w:pPr>
      <w:bookmarkStart w:id="0" w:name="_Hlk536446052"/>
      <w:bookmarkStart w:id="1" w:name="_Hlk12626235"/>
      <w:r w:rsidRPr="00512F62">
        <w:rPr>
          <w:rFonts w:eastAsia="Times New Roman" w:cs="Times New Roman"/>
          <w:noProof/>
          <w:szCs w:val="24"/>
          <w:lang w:eastAsia="lt-LT"/>
        </w:rPr>
        <w:drawing>
          <wp:anchor distT="0" distB="0" distL="114300" distR="114300" simplePos="0" relativeHeight="251658240" behindDoc="0" locked="1" layoutInCell="0" allowOverlap="1" wp14:anchorId="43EED5E7" wp14:editId="3C90E07A">
            <wp:simplePos x="0" y="0"/>
            <wp:positionH relativeFrom="column">
              <wp:posOffset>2668905</wp:posOffset>
            </wp:positionH>
            <wp:positionV relativeFrom="page">
              <wp:posOffset>731520</wp:posOffset>
            </wp:positionV>
            <wp:extent cx="535940" cy="6400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kam"/>
      <w:bookmarkStart w:id="3" w:name="data1"/>
      <w:bookmarkEnd w:id="2"/>
      <w:bookmarkEnd w:id="3"/>
    </w:p>
    <w:tbl>
      <w:tblPr>
        <w:tblpPr w:leftFromText="180" w:rightFromText="180" w:vertAnchor="page" w:horzAnchor="margin" w:tblpY="2551"/>
        <w:tblW w:w="0" w:type="auto"/>
        <w:tblLook w:val="04A0" w:firstRow="1" w:lastRow="0" w:firstColumn="1" w:lastColumn="0" w:noHBand="0" w:noVBand="1"/>
      </w:tblPr>
      <w:tblGrid>
        <w:gridCol w:w="9638"/>
      </w:tblGrid>
      <w:tr w:rsidR="00563200" w:rsidRPr="00512F62" w14:paraId="6C2A3356" w14:textId="77777777" w:rsidTr="009A1ECD">
        <w:trPr>
          <w:trHeight w:hRule="exact" w:val="624"/>
        </w:trPr>
        <w:tc>
          <w:tcPr>
            <w:tcW w:w="9747" w:type="dxa"/>
          </w:tcPr>
          <w:p w14:paraId="41A41937" w14:textId="77777777" w:rsidR="00563200" w:rsidRPr="00512F62" w:rsidRDefault="00563200" w:rsidP="00563200">
            <w:pPr>
              <w:shd w:val="clear" w:color="FFFFFF" w:fill="auto"/>
              <w:tabs>
                <w:tab w:val="left" w:pos="851"/>
              </w:tabs>
              <w:spacing w:line="240" w:lineRule="auto"/>
              <w:ind w:firstLine="851"/>
              <w:contextualSpacing/>
              <w:jc w:val="center"/>
              <w:rPr>
                <w:rFonts w:eastAsia="Times New Roman" w:cs="Times New Roman"/>
                <w:b/>
                <w:szCs w:val="24"/>
              </w:rPr>
            </w:pPr>
            <w:r w:rsidRPr="00512F62">
              <w:rPr>
                <w:rFonts w:eastAsia="Times New Roman" w:cs="Times New Roman"/>
                <w:b/>
                <w:szCs w:val="24"/>
              </w:rPr>
              <w:t>LIETUVOS RESPUBLIKOS SPECIALIŲJŲ TYRIMŲ TARNYBA</w:t>
            </w:r>
          </w:p>
          <w:p w14:paraId="4F68379C" w14:textId="77777777" w:rsidR="00563200" w:rsidRPr="00512F62" w:rsidRDefault="00563200" w:rsidP="00563200">
            <w:pPr>
              <w:tabs>
                <w:tab w:val="left" w:pos="851"/>
              </w:tabs>
              <w:spacing w:line="240" w:lineRule="auto"/>
              <w:ind w:firstLine="851"/>
              <w:contextualSpacing/>
              <w:jc w:val="center"/>
              <w:rPr>
                <w:rFonts w:eastAsia="Times New Roman" w:cs="Times New Roman"/>
                <w:b/>
                <w:szCs w:val="24"/>
              </w:rPr>
            </w:pPr>
          </w:p>
        </w:tc>
      </w:tr>
      <w:tr w:rsidR="00563200" w:rsidRPr="00512F62" w14:paraId="6A3D48F9" w14:textId="77777777" w:rsidTr="009A1ECD">
        <w:trPr>
          <w:trHeight w:hRule="exact" w:val="567"/>
        </w:trPr>
        <w:tc>
          <w:tcPr>
            <w:tcW w:w="9747" w:type="dxa"/>
          </w:tcPr>
          <w:p w14:paraId="2A005804" w14:textId="77777777" w:rsidR="00563200" w:rsidRPr="00512F62" w:rsidRDefault="00563200" w:rsidP="00563200">
            <w:pPr>
              <w:tabs>
                <w:tab w:val="left" w:pos="851"/>
              </w:tabs>
              <w:spacing w:line="240" w:lineRule="auto"/>
              <w:ind w:firstLine="851"/>
              <w:contextualSpacing/>
              <w:rPr>
                <w:rFonts w:eastAsia="Times New Roman" w:cs="Times New Roman"/>
                <w:szCs w:val="24"/>
              </w:rPr>
            </w:pPr>
          </w:p>
        </w:tc>
      </w:tr>
    </w:tbl>
    <w:tbl>
      <w:tblPr>
        <w:tblpPr w:leftFromText="180" w:rightFromText="180" w:vertAnchor="text" w:tblpY="1"/>
        <w:tblOverlap w:val="never"/>
        <w:tblW w:w="5198" w:type="dxa"/>
        <w:tblLayout w:type="fixed"/>
        <w:tblLook w:val="0000" w:firstRow="0" w:lastRow="0" w:firstColumn="0" w:lastColumn="0" w:noHBand="0" w:noVBand="0"/>
      </w:tblPr>
      <w:tblGrid>
        <w:gridCol w:w="5198"/>
      </w:tblGrid>
      <w:tr w:rsidR="00563200" w:rsidRPr="00512F62" w14:paraId="2CAE45EE" w14:textId="77777777" w:rsidTr="009A1ECD">
        <w:trPr>
          <w:trHeight w:val="1551"/>
        </w:trPr>
        <w:tc>
          <w:tcPr>
            <w:tcW w:w="5198" w:type="dxa"/>
          </w:tcPr>
          <w:p w14:paraId="4C256926" w14:textId="77777777" w:rsidR="00563200" w:rsidRPr="00512F62" w:rsidRDefault="00563200" w:rsidP="00563200">
            <w:pPr>
              <w:tabs>
                <w:tab w:val="left" w:pos="851"/>
              </w:tabs>
              <w:spacing w:line="240" w:lineRule="auto"/>
              <w:contextualSpacing/>
              <w:rPr>
                <w:rFonts w:eastAsia="Times New Roman" w:cs="Times New Roman"/>
                <w:szCs w:val="24"/>
                <w:lang w:eastAsia="lt-LT"/>
              </w:rPr>
            </w:pPr>
            <w:r w:rsidRPr="00512F62">
              <w:rPr>
                <w:rFonts w:eastAsia="Times New Roman" w:cs="Times New Roman"/>
                <w:szCs w:val="24"/>
                <w:lang w:eastAsia="lt-LT"/>
              </w:rPr>
              <w:t xml:space="preserve">Lietuvos Respublikos </w:t>
            </w:r>
            <w:r w:rsidR="007A48A7" w:rsidRPr="00512F62">
              <w:rPr>
                <w:rFonts w:eastAsia="Times New Roman" w:cs="Times New Roman"/>
                <w:szCs w:val="24"/>
                <w:lang w:eastAsia="lt-LT"/>
              </w:rPr>
              <w:t>finansų</w:t>
            </w:r>
            <w:r w:rsidR="00B90A2F" w:rsidRPr="00512F62">
              <w:rPr>
                <w:rFonts w:eastAsia="Times New Roman" w:cs="Times New Roman"/>
                <w:szCs w:val="24"/>
                <w:lang w:eastAsia="lt-LT"/>
              </w:rPr>
              <w:t xml:space="preserve"> ministerijai</w:t>
            </w:r>
            <w:r w:rsidRPr="00512F62">
              <w:rPr>
                <w:rFonts w:eastAsia="Times New Roman" w:cs="Times New Roman"/>
                <w:szCs w:val="24"/>
                <w:lang w:eastAsia="lt-LT"/>
              </w:rPr>
              <w:t xml:space="preserve"> </w:t>
            </w:r>
          </w:p>
          <w:p w14:paraId="523FB7D6" w14:textId="77777777" w:rsidR="00B152B0" w:rsidRPr="00512F62" w:rsidRDefault="00B152B0" w:rsidP="00B152B0">
            <w:pPr>
              <w:tabs>
                <w:tab w:val="left" w:pos="851"/>
              </w:tabs>
              <w:spacing w:line="240" w:lineRule="auto"/>
              <w:contextualSpacing/>
              <w:rPr>
                <w:rFonts w:eastAsia="Times New Roman" w:cs="Times New Roman"/>
                <w:szCs w:val="24"/>
              </w:rPr>
            </w:pPr>
            <w:r w:rsidRPr="00512F62">
              <w:rPr>
                <w:rFonts w:eastAsia="Times New Roman" w:cs="Times New Roman"/>
                <w:szCs w:val="24"/>
              </w:rPr>
              <w:t>E. pristatymo informacinė sistema</w:t>
            </w:r>
          </w:p>
          <w:p w14:paraId="717C6F32" w14:textId="77777777" w:rsidR="00B152B0" w:rsidRPr="00512F62" w:rsidRDefault="00B152B0" w:rsidP="00563200">
            <w:pPr>
              <w:tabs>
                <w:tab w:val="left" w:pos="851"/>
              </w:tabs>
              <w:spacing w:line="240" w:lineRule="auto"/>
              <w:contextualSpacing/>
              <w:rPr>
                <w:rFonts w:eastAsia="Times New Roman" w:cs="Times New Roman"/>
                <w:szCs w:val="24"/>
              </w:rPr>
            </w:pPr>
          </w:p>
          <w:p w14:paraId="4DC2C4EE" w14:textId="77777777" w:rsidR="00B152B0" w:rsidRPr="00512F62" w:rsidRDefault="00B152B0" w:rsidP="00563200">
            <w:pPr>
              <w:tabs>
                <w:tab w:val="left" w:pos="851"/>
              </w:tabs>
              <w:spacing w:line="240" w:lineRule="auto"/>
              <w:contextualSpacing/>
              <w:rPr>
                <w:rFonts w:eastAsia="Times New Roman" w:cs="Times New Roman"/>
                <w:szCs w:val="24"/>
              </w:rPr>
            </w:pPr>
            <w:r w:rsidRPr="00512F62">
              <w:rPr>
                <w:rFonts w:eastAsia="Times New Roman" w:cs="Times New Roman"/>
                <w:szCs w:val="24"/>
              </w:rPr>
              <w:t>Kopija</w:t>
            </w:r>
          </w:p>
          <w:p w14:paraId="4409AA5D" w14:textId="77777777" w:rsidR="00B152B0" w:rsidRPr="00512F62" w:rsidRDefault="00B152B0" w:rsidP="00563200">
            <w:pPr>
              <w:tabs>
                <w:tab w:val="left" w:pos="851"/>
              </w:tabs>
              <w:spacing w:line="240" w:lineRule="auto"/>
              <w:contextualSpacing/>
              <w:rPr>
                <w:rFonts w:eastAsia="Times New Roman" w:cs="Times New Roman"/>
                <w:szCs w:val="24"/>
              </w:rPr>
            </w:pPr>
            <w:r w:rsidRPr="00512F62">
              <w:rPr>
                <w:rFonts w:eastAsia="Times New Roman" w:cs="Times New Roman"/>
                <w:szCs w:val="24"/>
              </w:rPr>
              <w:t>Audito, apskaitos, turto vertinimo ir nemokumo valdymo tarnybai</w:t>
            </w:r>
          </w:p>
          <w:p w14:paraId="41D98BB3" w14:textId="77777777" w:rsidR="00B152B0" w:rsidRPr="00512F62" w:rsidRDefault="00B152B0" w:rsidP="00563200">
            <w:pPr>
              <w:tabs>
                <w:tab w:val="left" w:pos="851"/>
              </w:tabs>
              <w:spacing w:line="240" w:lineRule="auto"/>
              <w:contextualSpacing/>
              <w:rPr>
                <w:rFonts w:eastAsia="Times New Roman" w:cs="Times New Roman"/>
                <w:szCs w:val="24"/>
              </w:rPr>
            </w:pPr>
            <w:r w:rsidRPr="00512F62">
              <w:rPr>
                <w:rFonts w:eastAsia="Times New Roman" w:cs="Times New Roman"/>
                <w:szCs w:val="24"/>
              </w:rPr>
              <w:t>El. p. info@avnt.lt</w:t>
            </w:r>
          </w:p>
          <w:p w14:paraId="51D12AAB" w14:textId="77777777" w:rsidR="00B152B0" w:rsidRPr="00512F62" w:rsidRDefault="00B152B0" w:rsidP="00563200">
            <w:pPr>
              <w:tabs>
                <w:tab w:val="left" w:pos="851"/>
              </w:tabs>
              <w:spacing w:line="240" w:lineRule="auto"/>
              <w:contextualSpacing/>
              <w:rPr>
                <w:rFonts w:eastAsia="Times New Roman" w:cs="Times New Roman"/>
                <w:szCs w:val="24"/>
              </w:rPr>
            </w:pPr>
          </w:p>
          <w:p w14:paraId="605EB763" w14:textId="77777777" w:rsidR="00563200" w:rsidRPr="00512F62" w:rsidRDefault="00563200" w:rsidP="00563200">
            <w:pPr>
              <w:tabs>
                <w:tab w:val="left" w:pos="851"/>
              </w:tabs>
              <w:spacing w:line="240" w:lineRule="auto"/>
              <w:ind w:firstLine="851"/>
              <w:contextualSpacing/>
              <w:rPr>
                <w:rFonts w:eastAsia="Times New Roman" w:cs="Times New Roman"/>
                <w:szCs w:val="24"/>
                <w:lang w:eastAsia="lt-LT"/>
              </w:rPr>
            </w:pPr>
            <w:r w:rsidRPr="00512F62">
              <w:rPr>
                <w:rFonts w:eastAsia="Times New Roman" w:cs="Times New Roman"/>
                <w:color w:val="000000"/>
                <w:szCs w:val="24"/>
                <w:lang w:eastAsia="lt-LT"/>
              </w:rPr>
              <w:tab/>
            </w:r>
          </w:p>
        </w:tc>
      </w:tr>
    </w:tbl>
    <w:p w14:paraId="34BD83B1" w14:textId="77777777" w:rsidR="00563200" w:rsidRPr="00512F62" w:rsidRDefault="00563200" w:rsidP="00563200">
      <w:pPr>
        <w:tabs>
          <w:tab w:val="left" w:pos="851"/>
          <w:tab w:val="center" w:pos="4819"/>
          <w:tab w:val="right" w:pos="9638"/>
        </w:tabs>
        <w:spacing w:line="240" w:lineRule="auto"/>
        <w:ind w:firstLine="851"/>
        <w:contextualSpacing/>
        <w:rPr>
          <w:rFonts w:eastAsia="Times New Roman" w:cs="Times New Roman"/>
          <w:szCs w:val="24"/>
          <w:lang w:eastAsia="lt-LT"/>
        </w:rPr>
      </w:pPr>
    </w:p>
    <w:p w14:paraId="6571FB09" w14:textId="77777777" w:rsidR="00563200" w:rsidRPr="00512F62" w:rsidRDefault="00563200" w:rsidP="00563200">
      <w:pPr>
        <w:tabs>
          <w:tab w:val="left" w:pos="851"/>
          <w:tab w:val="center" w:pos="4819"/>
          <w:tab w:val="right" w:pos="9638"/>
        </w:tabs>
        <w:spacing w:line="240" w:lineRule="auto"/>
        <w:ind w:firstLine="851"/>
        <w:contextualSpacing/>
        <w:jc w:val="both"/>
        <w:rPr>
          <w:rFonts w:eastAsia="Times New Roman" w:cs="Times New Roman"/>
          <w:szCs w:val="24"/>
          <w:lang w:eastAsia="lt-LT"/>
        </w:rPr>
      </w:pPr>
      <w:r w:rsidRPr="00512F62">
        <w:rPr>
          <w:rFonts w:eastAsia="Times New Roman" w:cs="Times New Roman"/>
          <w:szCs w:val="24"/>
          <w:lang w:eastAsia="lt-LT"/>
        </w:rPr>
        <w:br w:type="textWrapping" w:clear="all"/>
      </w:r>
    </w:p>
    <w:p w14:paraId="60B86B06" w14:textId="77777777" w:rsidR="00563200" w:rsidRPr="00512F62" w:rsidRDefault="00563200" w:rsidP="00563200">
      <w:pPr>
        <w:tabs>
          <w:tab w:val="left" w:pos="851"/>
          <w:tab w:val="center" w:pos="4819"/>
          <w:tab w:val="right" w:pos="9638"/>
        </w:tabs>
        <w:spacing w:line="240" w:lineRule="auto"/>
        <w:ind w:firstLine="851"/>
        <w:contextualSpacing/>
        <w:jc w:val="both"/>
        <w:rPr>
          <w:rFonts w:eastAsia="Times New Roman" w:cs="Times New Roman"/>
          <w:szCs w:val="24"/>
          <w:lang w:eastAsia="lt-LT"/>
        </w:rPr>
      </w:pPr>
    </w:p>
    <w:p w14:paraId="1DEEAE75" w14:textId="77777777" w:rsidR="00563200" w:rsidRPr="00512F62" w:rsidRDefault="00563200" w:rsidP="00563200">
      <w:pPr>
        <w:shd w:val="clear" w:color="auto" w:fill="FFFFFF"/>
        <w:tabs>
          <w:tab w:val="left" w:pos="851"/>
        </w:tabs>
        <w:spacing w:line="240" w:lineRule="auto"/>
        <w:ind w:firstLine="851"/>
        <w:contextualSpacing/>
        <w:jc w:val="center"/>
        <w:rPr>
          <w:rFonts w:eastAsia="Times New Roman" w:cs="Times New Roman"/>
          <w:b/>
          <w:color w:val="000000"/>
          <w:szCs w:val="24"/>
          <w:lang w:eastAsia="lt-LT"/>
        </w:rPr>
      </w:pPr>
    </w:p>
    <w:p w14:paraId="68A779D8" w14:textId="77777777" w:rsidR="00563200" w:rsidRPr="00512F62" w:rsidRDefault="00563200" w:rsidP="00563200">
      <w:pPr>
        <w:shd w:val="clear" w:color="auto" w:fill="FFFFFF"/>
        <w:tabs>
          <w:tab w:val="left" w:pos="851"/>
        </w:tabs>
        <w:spacing w:line="240" w:lineRule="auto"/>
        <w:ind w:firstLine="851"/>
        <w:contextualSpacing/>
        <w:jc w:val="center"/>
        <w:rPr>
          <w:rFonts w:eastAsia="Times New Roman" w:cs="Times New Roman"/>
          <w:b/>
          <w:color w:val="000000"/>
          <w:szCs w:val="24"/>
          <w:lang w:eastAsia="lt-LT"/>
        </w:rPr>
      </w:pPr>
    </w:p>
    <w:p w14:paraId="7BFA4E46" w14:textId="77777777" w:rsidR="00563200" w:rsidRPr="00512F62" w:rsidRDefault="00563200" w:rsidP="00563200">
      <w:pPr>
        <w:shd w:val="clear" w:color="auto" w:fill="FFFFFF"/>
        <w:tabs>
          <w:tab w:val="left" w:pos="851"/>
        </w:tabs>
        <w:spacing w:line="240" w:lineRule="auto"/>
        <w:ind w:firstLine="851"/>
        <w:contextualSpacing/>
        <w:jc w:val="center"/>
        <w:rPr>
          <w:rFonts w:eastAsia="Times New Roman" w:cs="Times New Roman"/>
          <w:b/>
          <w:color w:val="000000"/>
          <w:szCs w:val="24"/>
          <w:lang w:eastAsia="lt-LT"/>
        </w:rPr>
      </w:pPr>
    </w:p>
    <w:p w14:paraId="4C99C878" w14:textId="77777777" w:rsidR="00563200" w:rsidRPr="00512F62" w:rsidRDefault="00563200" w:rsidP="00563200">
      <w:pPr>
        <w:shd w:val="clear" w:color="auto" w:fill="FFFFFF"/>
        <w:tabs>
          <w:tab w:val="left" w:pos="851"/>
        </w:tabs>
        <w:spacing w:line="240" w:lineRule="auto"/>
        <w:ind w:firstLine="851"/>
        <w:contextualSpacing/>
        <w:jc w:val="center"/>
        <w:rPr>
          <w:rFonts w:eastAsia="Times New Roman" w:cs="Times New Roman"/>
          <w:b/>
          <w:color w:val="000000"/>
          <w:szCs w:val="24"/>
          <w:lang w:eastAsia="lt-LT"/>
        </w:rPr>
      </w:pPr>
    </w:p>
    <w:p w14:paraId="42AC72F1" w14:textId="77777777" w:rsidR="00563200" w:rsidRPr="00512F62" w:rsidRDefault="00563200" w:rsidP="00563200">
      <w:pPr>
        <w:shd w:val="clear" w:color="auto" w:fill="FFFFFF"/>
        <w:tabs>
          <w:tab w:val="left" w:pos="851"/>
        </w:tabs>
        <w:spacing w:line="240" w:lineRule="auto"/>
        <w:ind w:firstLine="851"/>
        <w:contextualSpacing/>
        <w:jc w:val="center"/>
        <w:rPr>
          <w:rFonts w:eastAsia="Times New Roman" w:cs="Times New Roman"/>
          <w:b/>
          <w:color w:val="000000"/>
          <w:szCs w:val="24"/>
          <w:lang w:eastAsia="lt-LT"/>
        </w:rPr>
      </w:pPr>
    </w:p>
    <w:p w14:paraId="6CC26F19" w14:textId="77777777" w:rsidR="00563200" w:rsidRPr="00512F62" w:rsidRDefault="00563200" w:rsidP="00563200">
      <w:pPr>
        <w:shd w:val="clear" w:color="auto" w:fill="FFFFFF"/>
        <w:tabs>
          <w:tab w:val="left" w:pos="851"/>
        </w:tabs>
        <w:spacing w:line="240" w:lineRule="auto"/>
        <w:ind w:firstLine="851"/>
        <w:contextualSpacing/>
        <w:jc w:val="center"/>
        <w:rPr>
          <w:rFonts w:eastAsia="Times New Roman" w:cs="Times New Roman"/>
          <w:b/>
          <w:color w:val="000000"/>
          <w:szCs w:val="24"/>
          <w:lang w:eastAsia="lt-LT"/>
        </w:rPr>
      </w:pPr>
    </w:p>
    <w:p w14:paraId="7A2D1355" w14:textId="77777777" w:rsidR="00B152B0" w:rsidRPr="00512F62" w:rsidRDefault="00B152B0" w:rsidP="00563200">
      <w:pPr>
        <w:shd w:val="clear" w:color="auto" w:fill="FFFFFF"/>
        <w:tabs>
          <w:tab w:val="left" w:pos="851"/>
        </w:tabs>
        <w:spacing w:line="240" w:lineRule="auto"/>
        <w:ind w:firstLine="851"/>
        <w:contextualSpacing/>
        <w:jc w:val="center"/>
        <w:rPr>
          <w:rFonts w:eastAsia="Times New Roman" w:cs="Times New Roman"/>
          <w:b/>
          <w:color w:val="000000"/>
          <w:szCs w:val="24"/>
          <w:lang w:eastAsia="lt-LT"/>
        </w:rPr>
      </w:pPr>
    </w:p>
    <w:p w14:paraId="2E4B8A75" w14:textId="77777777" w:rsidR="00B152B0" w:rsidRPr="00512F62" w:rsidRDefault="00B152B0" w:rsidP="00563200">
      <w:pPr>
        <w:shd w:val="clear" w:color="auto" w:fill="FFFFFF"/>
        <w:tabs>
          <w:tab w:val="left" w:pos="851"/>
        </w:tabs>
        <w:spacing w:line="240" w:lineRule="auto"/>
        <w:ind w:firstLine="851"/>
        <w:contextualSpacing/>
        <w:jc w:val="center"/>
        <w:rPr>
          <w:rFonts w:eastAsia="Times New Roman" w:cs="Times New Roman"/>
          <w:b/>
          <w:color w:val="000000"/>
          <w:szCs w:val="24"/>
          <w:lang w:eastAsia="lt-LT"/>
        </w:rPr>
      </w:pPr>
      <w:bookmarkStart w:id="4" w:name="_GoBack"/>
      <w:bookmarkEnd w:id="4"/>
    </w:p>
    <w:p w14:paraId="230B779B" w14:textId="77777777" w:rsidR="00B152B0" w:rsidRPr="00512F62" w:rsidRDefault="00B152B0" w:rsidP="00563200">
      <w:pPr>
        <w:shd w:val="clear" w:color="auto" w:fill="FFFFFF"/>
        <w:tabs>
          <w:tab w:val="left" w:pos="851"/>
        </w:tabs>
        <w:spacing w:line="240" w:lineRule="auto"/>
        <w:ind w:firstLine="851"/>
        <w:contextualSpacing/>
        <w:jc w:val="center"/>
        <w:rPr>
          <w:rFonts w:eastAsia="Times New Roman" w:cs="Times New Roman"/>
          <w:b/>
          <w:color w:val="000000"/>
          <w:szCs w:val="24"/>
          <w:lang w:eastAsia="lt-LT"/>
        </w:rPr>
      </w:pPr>
    </w:p>
    <w:p w14:paraId="09F84BA1" w14:textId="77777777" w:rsidR="00563200" w:rsidRPr="00512F62" w:rsidRDefault="00312FF6" w:rsidP="00563200">
      <w:pPr>
        <w:shd w:val="clear" w:color="auto" w:fill="FFFFFF"/>
        <w:tabs>
          <w:tab w:val="left" w:pos="851"/>
        </w:tabs>
        <w:spacing w:line="240" w:lineRule="auto"/>
        <w:ind w:firstLine="851"/>
        <w:contextualSpacing/>
        <w:jc w:val="center"/>
        <w:rPr>
          <w:rFonts w:eastAsia="Times New Roman" w:cs="Times New Roman"/>
          <w:b/>
          <w:color w:val="000000"/>
          <w:szCs w:val="24"/>
          <w:lang w:eastAsia="lt-LT"/>
        </w:rPr>
      </w:pPr>
      <w:r w:rsidRPr="00512F62">
        <w:rPr>
          <w:rFonts w:eastAsia="Times New Roman" w:cs="Times New Roman"/>
          <w:b/>
          <w:color w:val="000000"/>
          <w:szCs w:val="24"/>
          <w:lang w:eastAsia="lt-LT"/>
        </w:rPr>
        <w:t>ANTIKORUPCINIO VERTINIMO IŠVADA</w:t>
      </w:r>
    </w:p>
    <w:p w14:paraId="157A1C8F" w14:textId="77777777" w:rsidR="00563200" w:rsidRPr="00512F62" w:rsidRDefault="00615FD2" w:rsidP="00563200">
      <w:pPr>
        <w:shd w:val="clear" w:color="auto" w:fill="FFFFFF"/>
        <w:tabs>
          <w:tab w:val="left" w:pos="851"/>
        </w:tabs>
        <w:spacing w:line="240" w:lineRule="auto"/>
        <w:ind w:firstLine="851"/>
        <w:contextualSpacing/>
        <w:jc w:val="center"/>
        <w:rPr>
          <w:rFonts w:eastAsia="Times New Roman" w:cs="Times New Roman"/>
          <w:caps/>
          <w:szCs w:val="24"/>
          <w:lang w:eastAsia="lt-LT"/>
        </w:rPr>
      </w:pPr>
      <w:r w:rsidRPr="00512F62">
        <w:rPr>
          <w:rFonts w:eastAsia="Times New Roman" w:cs="Times New Roman"/>
          <w:b/>
          <w:szCs w:val="24"/>
          <w:lang w:eastAsia="lt-LT"/>
        </w:rPr>
        <w:t xml:space="preserve">DĖL </w:t>
      </w:r>
      <w:r w:rsidRPr="00512F62">
        <w:rPr>
          <w:rFonts w:eastAsia="Times New Roman" w:cs="Times New Roman"/>
          <w:b/>
          <w:bCs/>
          <w:szCs w:val="24"/>
        </w:rPr>
        <w:t xml:space="preserve">TURTO ARBA VERSLO VERTINTOJŲ IR TURTO ARBA VERSLO VERTINIMO ĮMONIŲ VEIKLĄ REGLAMENTUOJANČIŲ TEISĖS AKTŲ </w:t>
      </w:r>
      <w:r w:rsidRPr="00512F62">
        <w:rPr>
          <w:rFonts w:eastAsia="Times New Roman" w:cs="Times New Roman"/>
          <w:b/>
          <w:color w:val="FF0000"/>
          <w:szCs w:val="24"/>
          <w:lang w:eastAsia="lt-LT"/>
        </w:rPr>
        <w:t xml:space="preserve">  </w:t>
      </w:r>
    </w:p>
    <w:tbl>
      <w:tblPr>
        <w:tblW w:w="9070" w:type="dxa"/>
        <w:tblLayout w:type="fixed"/>
        <w:tblLook w:val="0000" w:firstRow="0" w:lastRow="0" w:firstColumn="0" w:lastColumn="0" w:noHBand="0" w:noVBand="0"/>
      </w:tblPr>
      <w:tblGrid>
        <w:gridCol w:w="2473"/>
        <w:gridCol w:w="6597"/>
      </w:tblGrid>
      <w:tr w:rsidR="00563200" w:rsidRPr="00512F62" w14:paraId="33505BC6" w14:textId="77777777" w:rsidTr="009A1ECD">
        <w:tc>
          <w:tcPr>
            <w:tcW w:w="2473" w:type="dxa"/>
          </w:tcPr>
          <w:p w14:paraId="08A64EDA" w14:textId="77777777" w:rsidR="00563200" w:rsidRPr="00512F62" w:rsidRDefault="00563200" w:rsidP="00563200">
            <w:pPr>
              <w:tabs>
                <w:tab w:val="left" w:pos="851"/>
              </w:tabs>
              <w:spacing w:line="240" w:lineRule="auto"/>
              <w:ind w:firstLine="851"/>
              <w:contextualSpacing/>
              <w:rPr>
                <w:rFonts w:eastAsia="Times New Roman" w:cs="Times New Roman"/>
                <w:szCs w:val="24"/>
                <w:lang w:eastAsia="lt-LT"/>
              </w:rPr>
            </w:pPr>
          </w:p>
        </w:tc>
        <w:tc>
          <w:tcPr>
            <w:tcW w:w="6597" w:type="dxa"/>
          </w:tcPr>
          <w:p w14:paraId="6F2BBDCF" w14:textId="77777777" w:rsidR="00563200" w:rsidRPr="00512F62" w:rsidRDefault="00563200" w:rsidP="00563200">
            <w:pPr>
              <w:tabs>
                <w:tab w:val="left" w:pos="851"/>
              </w:tabs>
              <w:spacing w:line="240" w:lineRule="auto"/>
              <w:ind w:firstLine="851"/>
              <w:contextualSpacing/>
              <w:rPr>
                <w:rFonts w:eastAsia="Times New Roman" w:cs="Times New Roman"/>
                <w:szCs w:val="24"/>
                <w:lang w:eastAsia="lt-LT"/>
              </w:rPr>
            </w:pPr>
            <w:r w:rsidRPr="00512F62">
              <w:rPr>
                <w:rFonts w:eastAsia="Times New Roman" w:cs="Times New Roman"/>
                <w:szCs w:val="24"/>
                <w:lang w:eastAsia="lt-LT"/>
              </w:rPr>
              <w:t xml:space="preserve">             </w:t>
            </w:r>
          </w:p>
          <w:p w14:paraId="7C1DAC60" w14:textId="48013EF7" w:rsidR="00563200" w:rsidRPr="00512F62" w:rsidRDefault="00A3289D" w:rsidP="00A3289D">
            <w:pPr>
              <w:tabs>
                <w:tab w:val="left" w:pos="851"/>
              </w:tabs>
              <w:jc w:val="center"/>
              <w:rPr>
                <w:rFonts w:cs="Times New Roman"/>
                <w:szCs w:val="24"/>
                <w:lang w:eastAsia="lt-LT"/>
              </w:rPr>
            </w:pPr>
            <w:r w:rsidRPr="00512F62">
              <w:rPr>
                <w:rFonts w:cs="Times New Roman"/>
                <w:szCs w:val="24"/>
                <w:lang w:eastAsia="lt-LT"/>
              </w:rPr>
              <w:t xml:space="preserve">2019 m. </w:t>
            </w:r>
            <w:r w:rsidR="00986F3D" w:rsidRPr="00512F62">
              <w:rPr>
                <w:rFonts w:cs="Times New Roman"/>
                <w:szCs w:val="24"/>
                <w:lang w:eastAsia="lt-LT"/>
              </w:rPr>
              <w:t>liepos</w:t>
            </w:r>
            <w:r w:rsidR="00563200" w:rsidRPr="00512F62">
              <w:rPr>
                <w:rFonts w:cs="Times New Roman"/>
                <w:szCs w:val="24"/>
                <w:lang w:eastAsia="lt-LT"/>
              </w:rPr>
              <w:t xml:space="preserve"> </w:t>
            </w:r>
            <w:r w:rsidR="00430A3D">
              <w:rPr>
                <w:rFonts w:cs="Times New Roman"/>
                <w:szCs w:val="24"/>
                <w:lang w:eastAsia="lt-LT"/>
              </w:rPr>
              <w:t xml:space="preserve"> 3 </w:t>
            </w:r>
            <w:r w:rsidR="00563200" w:rsidRPr="00512F62">
              <w:rPr>
                <w:rFonts w:cs="Times New Roman"/>
                <w:szCs w:val="24"/>
                <w:lang w:eastAsia="lt-LT"/>
              </w:rPr>
              <w:t>d. Nr. 4-01-</w:t>
            </w:r>
            <w:r w:rsidR="00430A3D" w:rsidRPr="00430A3D">
              <w:rPr>
                <w:rFonts w:cs="Times New Roman"/>
                <w:szCs w:val="24"/>
                <w:lang w:eastAsia="lt-LT"/>
              </w:rPr>
              <w:t>5959</w:t>
            </w:r>
          </w:p>
          <w:p w14:paraId="196ADA96" w14:textId="77777777" w:rsidR="00B90A2F" w:rsidRPr="00512F62" w:rsidRDefault="00B90A2F" w:rsidP="00B90A2F">
            <w:pPr>
              <w:tabs>
                <w:tab w:val="left" w:pos="851"/>
              </w:tabs>
              <w:spacing w:line="240" w:lineRule="auto"/>
              <w:ind w:firstLine="851"/>
              <w:contextualSpacing/>
              <w:rPr>
                <w:rFonts w:eastAsia="Times New Roman" w:cs="Times New Roman"/>
                <w:szCs w:val="24"/>
                <w:lang w:eastAsia="lt-LT"/>
              </w:rPr>
            </w:pPr>
          </w:p>
        </w:tc>
      </w:tr>
    </w:tbl>
    <w:p w14:paraId="2CDD8602" w14:textId="77777777" w:rsidR="001C5CDE" w:rsidRPr="00512F62" w:rsidRDefault="00563200" w:rsidP="001C5CDE">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Vadovaudamiesi Lietuvos Respublikos korupcijos prevencijos įstatymo 8 straipsnio nuostatomis, atsižvelgdami į</w:t>
      </w:r>
      <w:r w:rsidR="00CD0F82" w:rsidRPr="00512F62">
        <w:rPr>
          <w:rFonts w:eastAsia="Times New Roman" w:cs="Times New Roman"/>
          <w:szCs w:val="24"/>
        </w:rPr>
        <w:t xml:space="preserve"> </w:t>
      </w:r>
      <w:r w:rsidR="007A48A7" w:rsidRPr="00512F62">
        <w:rPr>
          <w:rFonts w:eastAsia="Times New Roman" w:cs="Times New Roman"/>
          <w:szCs w:val="24"/>
        </w:rPr>
        <w:t xml:space="preserve">srities aktualumą, gaunamus skundus ir kitą turimą informaciją, savo iniciatyva atlikome šių teisės aktų antikorupcinį vertinimą: </w:t>
      </w:r>
    </w:p>
    <w:p w14:paraId="496AD4B7" w14:textId="77777777" w:rsidR="001C5CDE" w:rsidRPr="00512F62" w:rsidRDefault="001C5CDE" w:rsidP="001C5CDE">
      <w:pPr>
        <w:tabs>
          <w:tab w:val="left" w:pos="851"/>
        </w:tabs>
        <w:spacing w:line="360" w:lineRule="auto"/>
        <w:ind w:firstLine="851"/>
        <w:contextualSpacing/>
        <w:jc w:val="both"/>
        <w:rPr>
          <w:rFonts w:cs="Times New Roman"/>
          <w:szCs w:val="24"/>
        </w:rPr>
      </w:pPr>
      <w:r w:rsidRPr="00512F62">
        <w:rPr>
          <w:rFonts w:eastAsia="Times New Roman" w:cs="Times New Roman"/>
          <w:szCs w:val="24"/>
        </w:rPr>
        <w:t xml:space="preserve">1) </w:t>
      </w:r>
      <w:r w:rsidR="004B249B" w:rsidRPr="00512F62">
        <w:rPr>
          <w:rFonts w:eastAsia="Times New Roman" w:cs="Times New Roman"/>
          <w:szCs w:val="24"/>
        </w:rPr>
        <w:t>Turto arba verslo vertintojo kvalifikacijos egzaminų organizavimo taisyk</w:t>
      </w:r>
      <w:r w:rsidRPr="00512F62">
        <w:rPr>
          <w:rFonts w:cs="Times New Roman"/>
          <w:szCs w:val="24"/>
        </w:rPr>
        <w:t>lių</w:t>
      </w:r>
      <w:r w:rsidR="00126C23" w:rsidRPr="00512F62">
        <w:rPr>
          <w:rFonts w:cs="Times New Roman"/>
          <w:szCs w:val="24"/>
        </w:rPr>
        <w:t xml:space="preserve"> (toliau – E</w:t>
      </w:r>
      <w:r w:rsidR="00126C23" w:rsidRPr="00512F62">
        <w:rPr>
          <w:rFonts w:eastAsia="Times New Roman" w:cs="Times New Roman"/>
          <w:szCs w:val="24"/>
        </w:rPr>
        <w:t>gzaminų organizavimo taisyk</w:t>
      </w:r>
      <w:r w:rsidR="00126C23" w:rsidRPr="00512F62">
        <w:rPr>
          <w:rFonts w:cs="Times New Roman"/>
          <w:szCs w:val="24"/>
        </w:rPr>
        <w:t>lės)</w:t>
      </w:r>
      <w:r w:rsidRPr="00512F62">
        <w:rPr>
          <w:rFonts w:cs="Times New Roman"/>
          <w:szCs w:val="24"/>
        </w:rPr>
        <w:t>;</w:t>
      </w:r>
    </w:p>
    <w:p w14:paraId="226F5017" w14:textId="77777777" w:rsidR="001C5CDE" w:rsidRPr="00512F62" w:rsidRDefault="001C5CDE" w:rsidP="001C5CDE">
      <w:pPr>
        <w:tabs>
          <w:tab w:val="left" w:pos="851"/>
        </w:tabs>
        <w:spacing w:line="360" w:lineRule="auto"/>
        <w:ind w:firstLine="851"/>
        <w:contextualSpacing/>
        <w:jc w:val="both"/>
        <w:rPr>
          <w:rFonts w:cs="Times New Roman"/>
          <w:szCs w:val="24"/>
        </w:rPr>
      </w:pPr>
      <w:r w:rsidRPr="00512F62">
        <w:rPr>
          <w:rFonts w:cs="Times New Roman"/>
          <w:szCs w:val="24"/>
        </w:rPr>
        <w:t xml:space="preserve">2) </w:t>
      </w:r>
      <w:r w:rsidR="004B249B" w:rsidRPr="00512F62">
        <w:rPr>
          <w:rFonts w:cs="Times New Roman"/>
          <w:szCs w:val="24"/>
        </w:rPr>
        <w:t>Turto arba verslo vertintojo kvalifikacijos egzamino komisijos darbo reglament</w:t>
      </w:r>
      <w:r w:rsidRPr="00512F62">
        <w:rPr>
          <w:rFonts w:cs="Times New Roman"/>
          <w:szCs w:val="24"/>
        </w:rPr>
        <w:t>o</w:t>
      </w:r>
      <w:r w:rsidR="00126C23" w:rsidRPr="00512F62">
        <w:rPr>
          <w:rFonts w:cs="Times New Roman"/>
          <w:szCs w:val="24"/>
        </w:rPr>
        <w:t xml:space="preserve"> (toliau – Komisijos darbo reglamentas)</w:t>
      </w:r>
      <w:r w:rsidRPr="00512F62">
        <w:rPr>
          <w:rFonts w:cs="Times New Roman"/>
          <w:szCs w:val="24"/>
        </w:rPr>
        <w:t>;</w:t>
      </w:r>
    </w:p>
    <w:p w14:paraId="23605381" w14:textId="77777777" w:rsidR="001C5CDE" w:rsidRPr="00512F62" w:rsidRDefault="001C5CDE" w:rsidP="001C5CDE">
      <w:pPr>
        <w:tabs>
          <w:tab w:val="left" w:pos="851"/>
        </w:tabs>
        <w:spacing w:line="360" w:lineRule="auto"/>
        <w:ind w:firstLine="851"/>
        <w:contextualSpacing/>
        <w:jc w:val="both"/>
        <w:rPr>
          <w:rFonts w:cs="Times New Roman"/>
          <w:szCs w:val="24"/>
        </w:rPr>
      </w:pPr>
      <w:r w:rsidRPr="00512F62">
        <w:rPr>
          <w:rFonts w:cs="Times New Roman"/>
          <w:szCs w:val="24"/>
        </w:rPr>
        <w:t>3)</w:t>
      </w:r>
      <w:r w:rsidR="004B249B" w:rsidRPr="00512F62">
        <w:rPr>
          <w:rFonts w:cs="Times New Roman"/>
          <w:szCs w:val="24"/>
        </w:rPr>
        <w:t xml:space="preserve"> </w:t>
      </w:r>
      <w:r w:rsidR="00D21AA6" w:rsidRPr="00512F62">
        <w:rPr>
          <w:rFonts w:cs="Times New Roman"/>
          <w:szCs w:val="24"/>
        </w:rPr>
        <w:t>Turto arba verslo vertintojo išsilavinimo, profesinės patirties ir kvalifikacijos kėlimo reikalavimų aprašo (toliau – Kvalifikacijos reikalavimų aprašas);</w:t>
      </w:r>
    </w:p>
    <w:p w14:paraId="41704AD7" w14:textId="77777777" w:rsidR="001C5CDE" w:rsidRPr="00512F62" w:rsidRDefault="001C5CDE" w:rsidP="001C5CDE">
      <w:pPr>
        <w:tabs>
          <w:tab w:val="left" w:pos="851"/>
        </w:tabs>
        <w:spacing w:line="360" w:lineRule="auto"/>
        <w:ind w:firstLine="851"/>
        <w:contextualSpacing/>
        <w:jc w:val="both"/>
        <w:rPr>
          <w:rFonts w:cs="Times New Roman"/>
          <w:szCs w:val="24"/>
        </w:rPr>
      </w:pPr>
      <w:r w:rsidRPr="00512F62">
        <w:rPr>
          <w:rFonts w:cs="Times New Roman"/>
          <w:szCs w:val="24"/>
        </w:rPr>
        <w:t>4)</w:t>
      </w:r>
      <w:r w:rsidR="004B249B" w:rsidRPr="00512F62">
        <w:rPr>
          <w:rFonts w:cs="Times New Roman"/>
          <w:szCs w:val="24"/>
        </w:rPr>
        <w:t xml:space="preserve"> </w:t>
      </w:r>
      <w:r w:rsidR="00D21AA6" w:rsidRPr="00512F62">
        <w:rPr>
          <w:rFonts w:cs="Times New Roman"/>
          <w:szCs w:val="24"/>
        </w:rPr>
        <w:t>Turto arba verslo vertintojo kvalifikacijos pažymėjimo išdavimo ir galiojimo taisyklių (toliau – Kvalifikacijos pažymėjimo išdavimo ir galiojimo taisyklės);</w:t>
      </w:r>
    </w:p>
    <w:p w14:paraId="0BF3DED1" w14:textId="77777777" w:rsidR="004B249B" w:rsidRPr="00512F62" w:rsidRDefault="001C5CDE" w:rsidP="001C5CDE">
      <w:pPr>
        <w:tabs>
          <w:tab w:val="left" w:pos="851"/>
        </w:tabs>
        <w:spacing w:line="360" w:lineRule="auto"/>
        <w:ind w:firstLine="851"/>
        <w:contextualSpacing/>
        <w:jc w:val="both"/>
        <w:rPr>
          <w:rFonts w:eastAsia="Times New Roman" w:cs="Times New Roman"/>
          <w:szCs w:val="24"/>
        </w:rPr>
      </w:pPr>
      <w:r w:rsidRPr="00512F62">
        <w:rPr>
          <w:rFonts w:cs="Times New Roman"/>
          <w:szCs w:val="24"/>
        </w:rPr>
        <w:lastRenderedPageBreak/>
        <w:t xml:space="preserve">5) </w:t>
      </w:r>
      <w:r w:rsidR="00D21AA6" w:rsidRPr="00512F62">
        <w:rPr>
          <w:rFonts w:cs="Times New Roman"/>
          <w:szCs w:val="24"/>
        </w:rPr>
        <w:t>Skundų dėl turto arba verslo vertintojo kvalifikacijos egzamino komisijos sprendimų nagrinėjimo taisyklių (toliau – Skundų nagrinėjimo taisyklės)</w:t>
      </w:r>
      <w:r w:rsidR="00B6732A" w:rsidRPr="00512F62">
        <w:rPr>
          <w:rFonts w:cs="Times New Roman"/>
          <w:szCs w:val="24"/>
        </w:rPr>
        <w:t>, patvirtintų Lietuvos Respublikos finansų ministro 2019 m. sausio 25 d. įsakymu Nr. 1K-27</w:t>
      </w:r>
      <w:r w:rsidR="00B6732A" w:rsidRPr="00512F62">
        <w:rPr>
          <w:rStyle w:val="FootnoteReference"/>
          <w:szCs w:val="24"/>
        </w:rPr>
        <w:footnoteReference w:id="1"/>
      </w:r>
      <w:r w:rsidR="00D21AA6" w:rsidRPr="00512F62">
        <w:rPr>
          <w:rFonts w:cs="Times New Roman"/>
          <w:szCs w:val="24"/>
        </w:rPr>
        <w:t>;</w:t>
      </w:r>
    </w:p>
    <w:p w14:paraId="25B7C10F" w14:textId="77777777" w:rsidR="00B152B0" w:rsidRPr="00512F62" w:rsidRDefault="001C5CDE" w:rsidP="00B152B0">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6</w:t>
      </w:r>
      <w:r w:rsidR="004B249B" w:rsidRPr="00512F62">
        <w:rPr>
          <w:rFonts w:eastAsia="Times New Roman" w:cs="Times New Roman"/>
          <w:szCs w:val="24"/>
        </w:rPr>
        <w:t xml:space="preserve">) </w:t>
      </w:r>
      <w:r w:rsidR="00B152B0" w:rsidRPr="00512F62">
        <w:rPr>
          <w:rFonts w:eastAsia="Times New Roman" w:cs="Times New Roman"/>
          <w:szCs w:val="24"/>
        </w:rPr>
        <w:t>Išorės turto arba verslo vertinimo veikla turinčių teisę verstis asmenų sąrašo sudarymo, tvarkymo ir skelbimo taisyklių, patvirtintų Lietuvos Respublikos finansų ministro 2012 m. liepos 17 d. įsakymu Nr. 1K-264</w:t>
      </w:r>
      <w:r w:rsidR="00126C23" w:rsidRPr="00512F62">
        <w:rPr>
          <w:rFonts w:eastAsia="Times New Roman" w:cs="Times New Roman"/>
          <w:szCs w:val="24"/>
        </w:rPr>
        <w:t xml:space="preserve"> (toliau – Vertintojų sąrašo sudarymo taisyklės)</w:t>
      </w:r>
      <w:r w:rsidR="00801CAF" w:rsidRPr="00512F62">
        <w:rPr>
          <w:rFonts w:eastAsia="Times New Roman" w:cs="Times New Roman"/>
          <w:szCs w:val="24"/>
        </w:rPr>
        <w:t>;</w:t>
      </w:r>
    </w:p>
    <w:p w14:paraId="15761AB8" w14:textId="77777777" w:rsidR="004B249B" w:rsidRPr="00512F62" w:rsidRDefault="00B152B0" w:rsidP="004B249B">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7) </w:t>
      </w:r>
      <w:r w:rsidR="004B249B" w:rsidRPr="00512F62">
        <w:rPr>
          <w:rFonts w:eastAsia="Times New Roman" w:cs="Times New Roman"/>
          <w:szCs w:val="24"/>
        </w:rPr>
        <w:t>Turto arba verslo vertintojų ir turto arba verslo vertinimo įmonių veiklos patikrinimo taisykl</w:t>
      </w:r>
      <w:r w:rsidR="001C5CDE" w:rsidRPr="00512F62">
        <w:rPr>
          <w:rFonts w:eastAsia="Times New Roman" w:cs="Times New Roman"/>
          <w:szCs w:val="24"/>
        </w:rPr>
        <w:t>ių</w:t>
      </w:r>
      <w:r w:rsidR="004B249B" w:rsidRPr="00512F62">
        <w:rPr>
          <w:rFonts w:eastAsia="Times New Roman" w:cs="Times New Roman"/>
          <w:szCs w:val="24"/>
        </w:rPr>
        <w:t>, patvirtint</w:t>
      </w:r>
      <w:r w:rsidR="001C5CDE" w:rsidRPr="00512F62">
        <w:rPr>
          <w:rFonts w:eastAsia="Times New Roman" w:cs="Times New Roman"/>
          <w:szCs w:val="24"/>
        </w:rPr>
        <w:t>ų</w:t>
      </w:r>
      <w:r w:rsidR="004B249B" w:rsidRPr="00512F62">
        <w:rPr>
          <w:rFonts w:eastAsia="Times New Roman" w:cs="Times New Roman"/>
          <w:szCs w:val="24"/>
        </w:rPr>
        <w:t xml:space="preserve"> Lietuvos Respublikos finansų ministro 2012 m. gruodžio 11 d. įsakymu Nr. 1K-422</w:t>
      </w:r>
      <w:r w:rsidR="00126C23" w:rsidRPr="00512F62">
        <w:rPr>
          <w:rFonts w:eastAsia="Times New Roman" w:cs="Times New Roman"/>
          <w:szCs w:val="24"/>
        </w:rPr>
        <w:t xml:space="preserve"> (toliau – Patikrinimo taisyklės)</w:t>
      </w:r>
      <w:r w:rsidR="004B249B" w:rsidRPr="00512F62">
        <w:rPr>
          <w:rFonts w:eastAsia="Times New Roman" w:cs="Times New Roman"/>
          <w:szCs w:val="24"/>
        </w:rPr>
        <w:t>;</w:t>
      </w:r>
    </w:p>
    <w:p w14:paraId="6EEBB625" w14:textId="77777777" w:rsidR="008E6B7B" w:rsidRPr="00512F62" w:rsidRDefault="000E2F2E" w:rsidP="008E6B7B">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8) </w:t>
      </w:r>
      <w:r w:rsidR="008E6B7B" w:rsidRPr="00512F62">
        <w:rPr>
          <w:rFonts w:eastAsia="Times New Roman" w:cs="Times New Roman"/>
          <w:szCs w:val="24"/>
        </w:rPr>
        <w:t>Kitų valstybių narių turto arba verslo vertintojų, siekiančių vertinti turtą arba verslą Lietuvos Respublikoje įsisteigus ar laikinai arba kartais, profesinės kvalifikacijos pripažinimo tvarkos aprašo, patvirtinto Lietuvos Respublikos finansų ministro 2015 m. liepos 8 d. įsakymu Nr. 1K-227 (</w:t>
      </w:r>
      <w:r w:rsidR="000B069E" w:rsidRPr="00512F62">
        <w:rPr>
          <w:rFonts w:eastAsia="Times New Roman" w:cs="Times New Roman"/>
          <w:szCs w:val="24"/>
        </w:rPr>
        <w:t xml:space="preserve">toliau – </w:t>
      </w:r>
      <w:bookmarkStart w:id="5" w:name="_Hlk11648641"/>
      <w:r w:rsidR="000B069E" w:rsidRPr="00512F62">
        <w:rPr>
          <w:rFonts w:eastAsia="Times New Roman" w:cs="Times New Roman"/>
          <w:szCs w:val="24"/>
        </w:rPr>
        <w:t>Pripažinimo tvarka</w:t>
      </w:r>
      <w:bookmarkEnd w:id="5"/>
      <w:r w:rsidR="008E6B7B" w:rsidRPr="00512F62">
        <w:rPr>
          <w:rFonts w:eastAsia="Times New Roman" w:cs="Times New Roman"/>
          <w:szCs w:val="24"/>
        </w:rPr>
        <w:t>);</w:t>
      </w:r>
    </w:p>
    <w:p w14:paraId="63B79736" w14:textId="77777777" w:rsidR="00706ABB" w:rsidRPr="00512F62" w:rsidRDefault="008E6B7B" w:rsidP="00FF028D">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9) </w:t>
      </w:r>
      <w:r w:rsidR="00706ABB" w:rsidRPr="00512F62">
        <w:rPr>
          <w:rFonts w:eastAsia="Times New Roman" w:cs="Times New Roman"/>
          <w:szCs w:val="24"/>
        </w:rPr>
        <w:t xml:space="preserve">Turto arba verslo vertintojų garbės teismo nuostatų, patvirtintų Lietuvos Respublikos finansų ministro 2012 m. gegužės 17 d. įsakymu Nr. 1K-192 (toliau – Garbės </w:t>
      </w:r>
      <w:r w:rsidR="003439D6" w:rsidRPr="00512F62">
        <w:rPr>
          <w:rFonts w:eastAsia="Times New Roman" w:cs="Times New Roman"/>
          <w:szCs w:val="24"/>
        </w:rPr>
        <w:t xml:space="preserve">teismo </w:t>
      </w:r>
      <w:r w:rsidR="00706ABB" w:rsidRPr="00512F62">
        <w:rPr>
          <w:rFonts w:eastAsia="Times New Roman" w:cs="Times New Roman"/>
          <w:szCs w:val="24"/>
        </w:rPr>
        <w:t xml:space="preserve">nuostatai); </w:t>
      </w:r>
    </w:p>
    <w:p w14:paraId="1530D081" w14:textId="77777777" w:rsidR="000E2F2E" w:rsidRPr="00512F62" w:rsidRDefault="00706ABB" w:rsidP="003B415B">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10) </w:t>
      </w:r>
      <w:r w:rsidR="000E2F2E" w:rsidRPr="00512F62">
        <w:rPr>
          <w:rFonts w:eastAsia="Times New Roman" w:cs="Times New Roman"/>
          <w:szCs w:val="24"/>
        </w:rPr>
        <w:t xml:space="preserve">Lietuvos Respublikos turto ir verslo vertinimo pagrindų įstatymo </w:t>
      </w:r>
      <w:r w:rsidR="00126C23" w:rsidRPr="00512F62">
        <w:rPr>
          <w:rFonts w:eastAsia="Times New Roman" w:cs="Times New Roman"/>
          <w:szCs w:val="24"/>
        </w:rPr>
        <w:t>(toliau – Įstatymas)</w:t>
      </w:r>
      <w:r w:rsidR="00331320" w:rsidRPr="00512F62">
        <w:rPr>
          <w:rFonts w:eastAsia="Times New Roman" w:cs="Times New Roman"/>
          <w:szCs w:val="24"/>
        </w:rPr>
        <w:t xml:space="preserve"> nuostatų, susijusių su aukščiau minėtuose teisės aktuose nustatytomis procedūromis, antikorupcinį vertinimą</w:t>
      </w:r>
      <w:r w:rsidR="004B249B" w:rsidRPr="00512F62">
        <w:rPr>
          <w:rFonts w:eastAsia="Times New Roman" w:cs="Times New Roman"/>
          <w:szCs w:val="24"/>
        </w:rPr>
        <w:t>.</w:t>
      </w:r>
    </w:p>
    <w:p w14:paraId="23EC5F13" w14:textId="77777777" w:rsidR="00ED5BC4" w:rsidRPr="00512F62" w:rsidRDefault="00DD5999" w:rsidP="003B415B">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Atlikus a</w:t>
      </w:r>
      <w:r w:rsidR="00B42D22" w:rsidRPr="00512F62">
        <w:rPr>
          <w:rFonts w:eastAsia="Times New Roman" w:cs="Times New Roman"/>
          <w:szCs w:val="24"/>
        </w:rPr>
        <w:t>u</w:t>
      </w:r>
      <w:r w:rsidRPr="00512F62">
        <w:rPr>
          <w:rFonts w:eastAsia="Times New Roman" w:cs="Times New Roman"/>
          <w:szCs w:val="24"/>
        </w:rPr>
        <w:t>k</w:t>
      </w:r>
      <w:r w:rsidR="00B42D22" w:rsidRPr="00512F62">
        <w:rPr>
          <w:rFonts w:eastAsia="Times New Roman" w:cs="Times New Roman"/>
          <w:szCs w:val="24"/>
        </w:rPr>
        <w:t>š</w:t>
      </w:r>
      <w:r w:rsidRPr="00512F62">
        <w:rPr>
          <w:rFonts w:eastAsia="Times New Roman" w:cs="Times New Roman"/>
          <w:szCs w:val="24"/>
        </w:rPr>
        <w:t>čiau minėtų teisės aktų antikorupcinį vertinimą nustatyta, kad</w:t>
      </w:r>
      <w:r w:rsidR="00ED5BC4" w:rsidRPr="00512F62">
        <w:rPr>
          <w:rFonts w:eastAsia="Times New Roman" w:cs="Times New Roman"/>
          <w:szCs w:val="24"/>
        </w:rPr>
        <w:t>:</w:t>
      </w:r>
    </w:p>
    <w:p w14:paraId="3196182E" w14:textId="77777777" w:rsidR="00ED5BC4" w:rsidRPr="00512F62" w:rsidRDefault="00ED5BC4" w:rsidP="003B415B">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w:t>
      </w:r>
      <w:r w:rsidR="00DD5999" w:rsidRPr="00512F62">
        <w:rPr>
          <w:rFonts w:eastAsia="Times New Roman" w:cs="Times New Roman"/>
          <w:szCs w:val="24"/>
        </w:rPr>
        <w:t xml:space="preserve"> Audito, apskaitos, turto vertinimo ir nemokumo valdymo tarnybai prie Lietuvos Respublikos finansų ministerijos (toliau – Priežiūros įstaiga, </w:t>
      </w:r>
      <w:r w:rsidR="00C85741" w:rsidRPr="00512F62">
        <w:rPr>
          <w:rFonts w:eastAsia="Times New Roman" w:cs="Times New Roman"/>
          <w:szCs w:val="24"/>
        </w:rPr>
        <w:t>Priežiūros t</w:t>
      </w:r>
      <w:r w:rsidR="00DD5999" w:rsidRPr="00512F62">
        <w:rPr>
          <w:rFonts w:eastAsia="Times New Roman" w:cs="Times New Roman"/>
          <w:szCs w:val="24"/>
        </w:rPr>
        <w:t>arnyba)</w:t>
      </w:r>
      <w:r w:rsidR="0093742A" w:rsidRPr="00512F62">
        <w:rPr>
          <w:rFonts w:eastAsia="Times New Roman" w:cs="Times New Roman"/>
          <w:szCs w:val="24"/>
        </w:rPr>
        <w:t xml:space="preserve"> suteikti labai platūs įgaliojimai ir </w:t>
      </w:r>
      <w:r w:rsidR="00047364" w:rsidRPr="00512F62">
        <w:rPr>
          <w:rFonts w:eastAsia="Times New Roman" w:cs="Times New Roman"/>
          <w:szCs w:val="24"/>
        </w:rPr>
        <w:t>didelė</w:t>
      </w:r>
      <w:r w:rsidR="00F62E93" w:rsidRPr="00512F62">
        <w:rPr>
          <w:rFonts w:eastAsia="Times New Roman" w:cs="Times New Roman"/>
          <w:szCs w:val="24"/>
        </w:rPr>
        <w:t xml:space="preserve"> </w:t>
      </w:r>
      <w:r w:rsidR="0093742A" w:rsidRPr="00512F62">
        <w:rPr>
          <w:rFonts w:eastAsia="Times New Roman" w:cs="Times New Roman"/>
          <w:szCs w:val="24"/>
        </w:rPr>
        <w:t xml:space="preserve">diskrecija – </w:t>
      </w:r>
      <w:r w:rsidR="00A464FC" w:rsidRPr="00512F62">
        <w:rPr>
          <w:rFonts w:eastAsia="Times New Roman" w:cs="Times New Roman"/>
          <w:szCs w:val="24"/>
        </w:rPr>
        <w:t>nuo sprendimų priėmimo dėl</w:t>
      </w:r>
      <w:r w:rsidR="00C03CFE" w:rsidRPr="00512F62">
        <w:rPr>
          <w:rFonts w:eastAsia="Times New Roman" w:cs="Times New Roman"/>
          <w:szCs w:val="24"/>
        </w:rPr>
        <w:t xml:space="preserve"> turto arba verslo vertintojų (toliau – ir vertintojai) egzaminų organizavimo, kvalifikacijos pažymėjim</w:t>
      </w:r>
      <w:r w:rsidR="00DC27F7" w:rsidRPr="00512F62">
        <w:rPr>
          <w:rFonts w:eastAsia="Times New Roman" w:cs="Times New Roman"/>
          <w:szCs w:val="24"/>
        </w:rPr>
        <w:t>ų</w:t>
      </w:r>
      <w:r w:rsidR="00C03CFE" w:rsidRPr="00512F62">
        <w:rPr>
          <w:rFonts w:eastAsia="Times New Roman" w:cs="Times New Roman"/>
          <w:szCs w:val="24"/>
        </w:rPr>
        <w:t xml:space="preserve"> išdavimo</w:t>
      </w:r>
      <w:r w:rsidR="0053522F" w:rsidRPr="00512F62">
        <w:rPr>
          <w:rFonts w:eastAsia="Times New Roman" w:cs="Times New Roman"/>
          <w:szCs w:val="24"/>
        </w:rPr>
        <w:t xml:space="preserve">, </w:t>
      </w:r>
      <w:r w:rsidR="00C03CFE" w:rsidRPr="00512F62">
        <w:rPr>
          <w:rFonts w:eastAsia="Times New Roman" w:cs="Times New Roman"/>
          <w:szCs w:val="24"/>
        </w:rPr>
        <w:t xml:space="preserve">kvalifikacijos kėlimo kursų organizavimo, kitų valstybių narių turto arba verslo vertintojų, siekiančių vertinti turtą arba verslą Lietuvos Respublikoje įsisteigus ar laikinai arba kartais, profesinės kvalifikacijos pripažinimo iki </w:t>
      </w:r>
      <w:r w:rsidR="00D80D5B" w:rsidRPr="00512F62">
        <w:rPr>
          <w:rFonts w:eastAsia="Times New Roman" w:cs="Times New Roman"/>
          <w:szCs w:val="24"/>
        </w:rPr>
        <w:t xml:space="preserve">vertintojų </w:t>
      </w:r>
      <w:r w:rsidR="00C03CFE" w:rsidRPr="00512F62">
        <w:rPr>
          <w:rFonts w:eastAsia="Times New Roman" w:cs="Times New Roman"/>
          <w:szCs w:val="24"/>
        </w:rPr>
        <w:t>veiklos kontrolės</w:t>
      </w:r>
      <w:r w:rsidR="0053522F" w:rsidRPr="00512F62">
        <w:rPr>
          <w:rFonts w:eastAsia="Times New Roman" w:cs="Times New Roman"/>
          <w:szCs w:val="24"/>
        </w:rPr>
        <w:t xml:space="preserve"> ir sankcijų už pažeidimus taikymo</w:t>
      </w:r>
      <w:r w:rsidR="00F62E93" w:rsidRPr="00512F62">
        <w:rPr>
          <w:rFonts w:eastAsia="Times New Roman" w:cs="Times New Roman"/>
          <w:szCs w:val="24"/>
        </w:rPr>
        <w:t xml:space="preserve"> ar</w:t>
      </w:r>
      <w:r w:rsidR="003C2D6F" w:rsidRPr="00512F62">
        <w:rPr>
          <w:rFonts w:eastAsia="Times New Roman" w:cs="Times New Roman"/>
          <w:szCs w:val="24"/>
        </w:rPr>
        <w:t xml:space="preserve"> </w:t>
      </w:r>
      <w:r w:rsidR="00F62E93" w:rsidRPr="00512F62">
        <w:rPr>
          <w:rFonts w:eastAsia="Times New Roman" w:cs="Times New Roman"/>
          <w:szCs w:val="24"/>
        </w:rPr>
        <w:t>Garbės teismo narių skyrimo</w:t>
      </w:r>
      <w:r w:rsidRPr="00512F62">
        <w:rPr>
          <w:rFonts w:eastAsia="Times New Roman" w:cs="Times New Roman"/>
          <w:szCs w:val="24"/>
        </w:rPr>
        <w:t>;</w:t>
      </w:r>
    </w:p>
    <w:p w14:paraId="7A309D6C" w14:textId="77777777" w:rsidR="00282C5E" w:rsidRPr="00512F62" w:rsidRDefault="00ED5BC4" w:rsidP="003B415B">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lastRenderedPageBreak/>
        <w:t xml:space="preserve">- </w:t>
      </w:r>
      <w:r w:rsidR="003C2D6F" w:rsidRPr="00512F62">
        <w:rPr>
          <w:rFonts w:eastAsia="Times New Roman" w:cs="Times New Roman"/>
          <w:szCs w:val="24"/>
        </w:rPr>
        <w:t xml:space="preserve">kai kurios </w:t>
      </w:r>
      <w:r w:rsidRPr="00512F62">
        <w:rPr>
          <w:rFonts w:eastAsia="Times New Roman" w:cs="Times New Roman"/>
          <w:szCs w:val="24"/>
        </w:rPr>
        <w:t xml:space="preserve">aukščiau </w:t>
      </w:r>
      <w:r w:rsidR="003C2D6F" w:rsidRPr="00512F62">
        <w:rPr>
          <w:rFonts w:eastAsia="Times New Roman" w:cs="Times New Roman"/>
          <w:szCs w:val="24"/>
        </w:rPr>
        <w:t>minėtas funkcijas reglamentuojančių teisės aktų nuostatos gali būti suvokiamos ir taikomos nevienareikšmiškai</w:t>
      </w:r>
      <w:r w:rsidRPr="00512F62">
        <w:rPr>
          <w:rFonts w:eastAsia="Times New Roman" w:cs="Times New Roman"/>
          <w:szCs w:val="24"/>
        </w:rPr>
        <w:t>, todėl gali atsirasti piktnaudžiavimo ar korupcijos galimybė;</w:t>
      </w:r>
    </w:p>
    <w:p w14:paraId="0CBBAF32" w14:textId="5E86DD12" w:rsidR="003C2D6F" w:rsidRPr="00512F62" w:rsidRDefault="00282C5E" w:rsidP="003B415B">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dėl silpnai reguliuojamų vertintojų teikiamų paslaugų kokybės galimai nėra užtikrinam</w:t>
      </w:r>
      <w:r w:rsidR="009A5E5A" w:rsidRPr="00512F62">
        <w:rPr>
          <w:rFonts w:eastAsia="Times New Roman" w:cs="Times New Roman"/>
          <w:szCs w:val="24"/>
        </w:rPr>
        <w:t>as</w:t>
      </w:r>
      <w:r w:rsidRPr="00512F62">
        <w:rPr>
          <w:rFonts w:eastAsia="Times New Roman" w:cs="Times New Roman"/>
          <w:szCs w:val="24"/>
        </w:rPr>
        <w:t xml:space="preserve"> privačių asmenų ir valstybės interes</w:t>
      </w:r>
      <w:r w:rsidR="009A5E5A" w:rsidRPr="00512F62">
        <w:rPr>
          <w:rFonts w:eastAsia="Times New Roman" w:cs="Times New Roman"/>
          <w:szCs w:val="24"/>
        </w:rPr>
        <w:t xml:space="preserve">ų įgyvendinimas. </w:t>
      </w:r>
      <w:r w:rsidRPr="00512F62">
        <w:rPr>
          <w:rFonts w:eastAsia="Times New Roman" w:cs="Times New Roman"/>
          <w:szCs w:val="24"/>
        </w:rPr>
        <w:t xml:space="preserve">  </w:t>
      </w:r>
      <w:r w:rsidR="003C2D6F" w:rsidRPr="00512F62">
        <w:rPr>
          <w:rFonts w:eastAsia="Times New Roman" w:cs="Times New Roman"/>
          <w:szCs w:val="24"/>
        </w:rPr>
        <w:t xml:space="preserve"> </w:t>
      </w:r>
    </w:p>
    <w:p w14:paraId="173CCBD6" w14:textId="77777777" w:rsidR="00B82579" w:rsidRPr="00512F62" w:rsidRDefault="00737F74" w:rsidP="003B415B">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Siekdami teisinio reguliavimo </w:t>
      </w:r>
      <w:r w:rsidR="00BF72A3" w:rsidRPr="00512F62">
        <w:rPr>
          <w:rFonts w:eastAsia="Times New Roman" w:cs="Times New Roman"/>
          <w:szCs w:val="24"/>
        </w:rPr>
        <w:t>tikslumo, aiškumo, nuoseklumo</w:t>
      </w:r>
      <w:r w:rsidR="00357A6D" w:rsidRPr="00512F62">
        <w:rPr>
          <w:rFonts w:eastAsia="Times New Roman" w:cs="Times New Roman"/>
          <w:szCs w:val="24"/>
        </w:rPr>
        <w:t xml:space="preserve">, </w:t>
      </w:r>
      <w:r w:rsidR="00BF72A3" w:rsidRPr="00512F62">
        <w:rPr>
          <w:rFonts w:eastAsia="Times New Roman" w:cs="Times New Roman"/>
          <w:szCs w:val="24"/>
        </w:rPr>
        <w:t>skaidrumo</w:t>
      </w:r>
      <w:r w:rsidR="00357A6D" w:rsidRPr="00512F62">
        <w:rPr>
          <w:rFonts w:eastAsia="Times New Roman" w:cs="Times New Roman"/>
          <w:szCs w:val="24"/>
        </w:rPr>
        <w:t xml:space="preserve"> ir atsparumo korupcijai</w:t>
      </w:r>
      <w:r w:rsidR="00BF72A3" w:rsidRPr="00512F62">
        <w:rPr>
          <w:rFonts w:eastAsia="Times New Roman" w:cs="Times New Roman"/>
          <w:szCs w:val="24"/>
        </w:rPr>
        <w:t xml:space="preserve">, </w:t>
      </w:r>
      <w:r w:rsidR="00C018B5" w:rsidRPr="00512F62">
        <w:rPr>
          <w:rFonts w:eastAsia="Times New Roman" w:cs="Times New Roman"/>
          <w:szCs w:val="24"/>
        </w:rPr>
        <w:t>t</w:t>
      </w:r>
      <w:r w:rsidR="00BF72A3" w:rsidRPr="00512F62">
        <w:rPr>
          <w:rFonts w:eastAsia="Times New Roman" w:cs="Times New Roman"/>
          <w:szCs w:val="24"/>
        </w:rPr>
        <w:t xml:space="preserve">eikiame </w:t>
      </w:r>
      <w:r w:rsidR="00BE0371" w:rsidRPr="00512F62">
        <w:rPr>
          <w:rFonts w:eastAsia="Times New Roman" w:cs="Times New Roman"/>
          <w:szCs w:val="24"/>
        </w:rPr>
        <w:t>žemiau esančias</w:t>
      </w:r>
      <w:r w:rsidR="00BF72A3" w:rsidRPr="00512F62">
        <w:rPr>
          <w:rFonts w:eastAsia="Times New Roman" w:cs="Times New Roman"/>
          <w:szCs w:val="24"/>
        </w:rPr>
        <w:t xml:space="preserve"> pastabas ir pasiūlymus.</w:t>
      </w:r>
    </w:p>
    <w:p w14:paraId="6916A738" w14:textId="027C80F4" w:rsidR="00ED5BC4" w:rsidRPr="00512F62" w:rsidRDefault="003A0FB8" w:rsidP="00ED5BC4">
      <w:pPr>
        <w:tabs>
          <w:tab w:val="left" w:pos="851"/>
        </w:tabs>
        <w:spacing w:line="360" w:lineRule="auto"/>
        <w:ind w:firstLine="851"/>
        <w:contextualSpacing/>
        <w:jc w:val="both"/>
        <w:rPr>
          <w:rFonts w:eastAsia="Times New Roman" w:cs="Times New Roman"/>
          <w:b/>
          <w:bCs/>
          <w:szCs w:val="24"/>
        </w:rPr>
      </w:pPr>
      <w:r w:rsidRPr="00512F62">
        <w:rPr>
          <w:rFonts w:eastAsia="Times New Roman" w:cs="Times New Roman"/>
          <w:b/>
          <w:bCs/>
          <w:szCs w:val="24"/>
        </w:rPr>
        <w:t xml:space="preserve">1. </w:t>
      </w:r>
      <w:r w:rsidR="00ED5BC4" w:rsidRPr="00512F62">
        <w:rPr>
          <w:rFonts w:eastAsia="Times New Roman" w:cs="Times New Roman"/>
          <w:b/>
          <w:bCs/>
          <w:szCs w:val="24"/>
        </w:rPr>
        <w:t xml:space="preserve">Dėl turto vertinimo paslaugų įkainių </w:t>
      </w:r>
    </w:p>
    <w:p w14:paraId="2519FF97" w14:textId="77777777" w:rsidR="00ED5BC4" w:rsidRPr="00512F62" w:rsidRDefault="00ED5BC4" w:rsidP="00ED5BC4">
      <w:pPr>
        <w:tabs>
          <w:tab w:val="left" w:pos="851"/>
        </w:tabs>
        <w:spacing w:line="360" w:lineRule="auto"/>
        <w:ind w:firstLine="851"/>
        <w:contextualSpacing/>
        <w:jc w:val="both"/>
        <w:rPr>
          <w:rFonts w:cs="Times New Roman"/>
          <w:color w:val="000000"/>
          <w:szCs w:val="24"/>
        </w:rPr>
      </w:pPr>
      <w:r w:rsidRPr="00512F62">
        <w:rPr>
          <w:rFonts w:eastAsia="Times New Roman" w:cs="Times New Roman"/>
          <w:szCs w:val="24"/>
        </w:rPr>
        <w:t xml:space="preserve">Įstatyme </w:t>
      </w:r>
      <w:r w:rsidRPr="00512F62">
        <w:rPr>
          <w:rFonts w:cs="Times New Roman"/>
          <w:color w:val="000000"/>
          <w:szCs w:val="24"/>
        </w:rPr>
        <w:t xml:space="preserve">nustatyta, kad neprivalomasis turto arba verslo vertinimas – turto arba verslo vertinimas, atliekamas užsakovo iniciatyva, jo ir turto arba verslo vertinimo įmonės arba nepriklausomo turto arba verslo vertintojo susitarimu (Įstatymo </w:t>
      </w:r>
      <w:r w:rsidRPr="00512F62">
        <w:rPr>
          <w:rFonts w:eastAsia="Times New Roman" w:cs="Times New Roman"/>
          <w:szCs w:val="24"/>
        </w:rPr>
        <w:t xml:space="preserve">2 straipsnio </w:t>
      </w:r>
      <w:r w:rsidRPr="00512F62">
        <w:rPr>
          <w:rFonts w:cs="Times New Roman"/>
          <w:color w:val="000000"/>
          <w:szCs w:val="24"/>
        </w:rPr>
        <w:t xml:space="preserve">6 dalis), </w:t>
      </w:r>
      <w:r w:rsidRPr="00512F62">
        <w:rPr>
          <w:rFonts w:cs="Times New Roman"/>
          <w:i/>
          <w:iCs/>
          <w:color w:val="000000"/>
          <w:szCs w:val="24"/>
        </w:rPr>
        <w:t>privalomasis turto arba verslo vertinimas</w:t>
      </w:r>
      <w:r w:rsidRPr="00512F62">
        <w:rPr>
          <w:rFonts w:cs="Times New Roman"/>
          <w:color w:val="000000"/>
          <w:szCs w:val="24"/>
        </w:rPr>
        <w:t xml:space="preserve"> – </w:t>
      </w:r>
      <w:r w:rsidRPr="00512F62">
        <w:rPr>
          <w:rFonts w:cs="Times New Roman"/>
          <w:i/>
          <w:iCs/>
          <w:color w:val="000000"/>
          <w:szCs w:val="24"/>
        </w:rPr>
        <w:t>turto arba verslo vertinimas, atliekamas Lietuvos Respublikos teisės aktų nustatytais atvejais, siekiant užtikrinti viešuosius interesus</w:t>
      </w:r>
      <w:r w:rsidRPr="00512F62">
        <w:rPr>
          <w:rFonts w:cs="Times New Roman"/>
          <w:szCs w:val="24"/>
        </w:rPr>
        <w:t xml:space="preserve"> </w:t>
      </w:r>
      <w:r w:rsidRPr="00512F62">
        <w:rPr>
          <w:rFonts w:cs="Times New Roman"/>
          <w:color w:val="000000"/>
          <w:szCs w:val="24"/>
        </w:rPr>
        <w:t xml:space="preserve">(Įstatymo 2 straipsnio 7 dalis). </w:t>
      </w:r>
    </w:p>
    <w:p w14:paraId="716EFB13" w14:textId="77777777" w:rsidR="00ED5BC4" w:rsidRPr="00512F62" w:rsidRDefault="00ED5BC4" w:rsidP="00ED5BC4">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Privalomasis turto vertinimas dažniausiai atliekamas perkant nekilnojamąjį turtą su banko paskola, antstoliams parduodant skolininko turtą iš varžytynių, restruktūrizuojant įmones, reorganizuojant viešąsias įstaigas ir pan.    </w:t>
      </w:r>
    </w:p>
    <w:p w14:paraId="49A30316" w14:textId="76DBD740" w:rsidR="00ED5BC4" w:rsidRPr="00512F62" w:rsidRDefault="00ED5BC4" w:rsidP="00ED5BC4">
      <w:pPr>
        <w:tabs>
          <w:tab w:val="left" w:pos="851"/>
        </w:tabs>
        <w:spacing w:line="360" w:lineRule="auto"/>
        <w:ind w:firstLine="851"/>
        <w:contextualSpacing/>
        <w:jc w:val="both"/>
        <w:rPr>
          <w:rFonts w:cs="Times New Roman"/>
          <w:szCs w:val="24"/>
        </w:rPr>
      </w:pPr>
      <w:r w:rsidRPr="00512F62">
        <w:rPr>
          <w:rFonts w:eastAsia="Times New Roman" w:cs="Times New Roman"/>
          <w:szCs w:val="24"/>
        </w:rPr>
        <w:t xml:space="preserve">Vertintuose teisės aktuose nėra įtvirtintas įpareigojimas turto ar verslo vertintojams viešai skelbti nekilnojamojo ar kilnojamojo turto arba verslo vertinimo paslaugų įkainių. Įstatymo 21 straipsnio 9 dalyje tėra įtvirtinta, kad </w:t>
      </w:r>
      <w:r w:rsidRPr="00512F62">
        <w:rPr>
          <w:rFonts w:eastAsia="Times New Roman" w:cs="Times New Roman"/>
          <w:i/>
          <w:iCs/>
          <w:szCs w:val="24"/>
        </w:rPr>
        <w:t>a</w:t>
      </w:r>
      <w:r w:rsidRPr="00512F62">
        <w:rPr>
          <w:rFonts w:cs="Times New Roman"/>
          <w:i/>
          <w:iCs/>
          <w:szCs w:val="24"/>
        </w:rPr>
        <w:t>tlyginimo už turto arba verslo vertinimą dydis turi būti nustatytas turto arba verslo vertinimo sutartyje</w:t>
      </w:r>
      <w:r w:rsidRPr="00512F62">
        <w:rPr>
          <w:rFonts w:cs="Times New Roman"/>
          <w:szCs w:val="24"/>
        </w:rPr>
        <w:t xml:space="preserve">. </w:t>
      </w:r>
    </w:p>
    <w:p w14:paraId="0DBA2E26" w14:textId="7B3B33FF" w:rsidR="00ED5BC4" w:rsidRPr="00512F62" w:rsidRDefault="00ED5BC4" w:rsidP="00ED5BC4">
      <w:pPr>
        <w:tabs>
          <w:tab w:val="left" w:pos="851"/>
        </w:tabs>
        <w:spacing w:line="360" w:lineRule="auto"/>
        <w:ind w:firstLine="851"/>
        <w:contextualSpacing/>
        <w:jc w:val="both"/>
        <w:rPr>
          <w:rFonts w:cs="Times New Roman"/>
          <w:szCs w:val="24"/>
        </w:rPr>
      </w:pPr>
      <w:r w:rsidRPr="00512F62">
        <w:rPr>
          <w:rFonts w:cs="Times New Roman"/>
          <w:szCs w:val="24"/>
        </w:rPr>
        <w:t xml:space="preserve">Tokia situacija galimai yra ydinga tais atvejais, kai turto vertinimas yra privalomas, o turto savininkui ar </w:t>
      </w:r>
      <w:r w:rsidR="00850E68" w:rsidRPr="00512F62">
        <w:rPr>
          <w:rFonts w:cs="Times New Roman"/>
          <w:szCs w:val="24"/>
        </w:rPr>
        <w:t>tam tikrą turtą</w:t>
      </w:r>
      <w:r w:rsidRPr="00512F62">
        <w:rPr>
          <w:rFonts w:cs="Times New Roman"/>
          <w:szCs w:val="24"/>
        </w:rPr>
        <w:t xml:space="preserve"> į</w:t>
      </w:r>
      <w:r w:rsidR="00850E68" w:rsidRPr="00512F62">
        <w:rPr>
          <w:rFonts w:cs="Times New Roman"/>
          <w:szCs w:val="24"/>
        </w:rPr>
        <w:t>si</w:t>
      </w:r>
      <w:r w:rsidRPr="00512F62">
        <w:rPr>
          <w:rFonts w:cs="Times New Roman"/>
          <w:szCs w:val="24"/>
        </w:rPr>
        <w:t>gyti siekiančiam asmeniui nėra suteikiama turto vertintojo pasirinkimo galimybė.</w:t>
      </w:r>
    </w:p>
    <w:p w14:paraId="3A892266" w14:textId="7CDC3494" w:rsidR="00ED5BC4" w:rsidRPr="00512F62" w:rsidRDefault="00ED5BC4" w:rsidP="00ED5BC4">
      <w:pPr>
        <w:tabs>
          <w:tab w:val="left" w:pos="851"/>
        </w:tabs>
        <w:spacing w:line="360" w:lineRule="auto"/>
        <w:ind w:firstLine="851"/>
        <w:contextualSpacing/>
        <w:jc w:val="both"/>
        <w:rPr>
          <w:rFonts w:cs="Times New Roman"/>
          <w:szCs w:val="24"/>
        </w:rPr>
      </w:pPr>
      <w:r w:rsidRPr="00512F62">
        <w:rPr>
          <w:rFonts w:cs="Times New Roman"/>
          <w:szCs w:val="24"/>
        </w:rPr>
        <w:t xml:space="preserve">Pavyzdžiui, Civilinio proceso kodekso 682 straipsnio 1 dalyje numatyta, kad antstolis ekspertizę turto vertei nustatyti skiria priimdamas patvarkymą, kuriame turi būti nurodyta ekspertas ar ekspertizės įstaiga, kuriai pavedama atlikti ekspertizę. Lietuvos Respublikos teisingumo ministro 2005 m. spalio 27 d. įsakymu Nr. 1R-352 patvirtintų Sprendimų vykdymo instrukcijų 7 punkte įtvirtinta, kad turto vertei nustatyti kaip ekspertas kviečiamas turto vertintojas, atitinkantis Lietuvos Respublikos turto ir verslo vertinimo pagrindų įstatyme nustatytus reikalavimus. </w:t>
      </w:r>
    </w:p>
    <w:p w14:paraId="39F97E8B" w14:textId="5252C0DA" w:rsidR="00ED5BC4" w:rsidRPr="00512F62" w:rsidRDefault="00ED5BC4" w:rsidP="00ED5BC4">
      <w:pPr>
        <w:tabs>
          <w:tab w:val="left" w:pos="851"/>
        </w:tabs>
        <w:spacing w:line="360" w:lineRule="auto"/>
        <w:ind w:firstLine="851"/>
        <w:contextualSpacing/>
        <w:jc w:val="both"/>
        <w:rPr>
          <w:rFonts w:cs="Times New Roman"/>
          <w:szCs w:val="24"/>
        </w:rPr>
      </w:pPr>
      <w:r w:rsidRPr="00512F62">
        <w:rPr>
          <w:rFonts w:cs="Times New Roman"/>
          <w:szCs w:val="24"/>
        </w:rPr>
        <w:lastRenderedPageBreak/>
        <w:t>Teisės aktai nenustato jokių turto vertintojų pasirinkimo kriterijų, išskyrus reikiamą kvalifikaciją, todėl antstolis turi teisę pavesti atlikti ekspertizę bet kuriam turto vertintojui, atitinkančiam Įstatymo keliamus reikalavimus, o už jo paslaugas sumokėti pareiga tenka skolininkui</w:t>
      </w:r>
      <w:r w:rsidRPr="00512F62">
        <w:rPr>
          <w:rStyle w:val="FootnoteReference"/>
          <w:szCs w:val="24"/>
        </w:rPr>
        <w:footnoteReference w:id="2"/>
      </w:r>
      <w:r w:rsidRPr="00512F62">
        <w:rPr>
          <w:rFonts w:cs="Times New Roman"/>
          <w:szCs w:val="24"/>
        </w:rPr>
        <w:t>.</w:t>
      </w:r>
      <w:r w:rsidR="00870A05" w:rsidRPr="00512F62">
        <w:rPr>
          <w:rFonts w:cs="Times New Roman"/>
          <w:szCs w:val="24"/>
        </w:rPr>
        <w:t xml:space="preserve"> Tokiu atveju neeliminuojama galimybė, kad bus pasirinktas antstoliui žinomas turto vertintojas, o </w:t>
      </w:r>
      <w:r w:rsidR="00692FD9" w:rsidRPr="00512F62">
        <w:rPr>
          <w:rFonts w:cs="Times New Roman"/>
          <w:szCs w:val="24"/>
        </w:rPr>
        <w:t>pastaro</w:t>
      </w:r>
      <w:r w:rsidR="00870A05" w:rsidRPr="00512F62">
        <w:rPr>
          <w:rFonts w:cs="Times New Roman"/>
          <w:szCs w:val="24"/>
        </w:rPr>
        <w:t xml:space="preserve">jo paslaugų įkainiai nebūtinai geriausiai atitiks skolininko finansinius interesus.  </w:t>
      </w:r>
      <w:r w:rsidRPr="00512F62">
        <w:rPr>
          <w:rFonts w:cs="Times New Roman"/>
          <w:szCs w:val="24"/>
        </w:rPr>
        <w:t xml:space="preserve"> </w:t>
      </w:r>
    </w:p>
    <w:p w14:paraId="33786C05" w14:textId="77777777" w:rsidR="00ED5BC4" w:rsidRPr="00512F62" w:rsidRDefault="00ED5BC4" w:rsidP="00ED5BC4">
      <w:pPr>
        <w:tabs>
          <w:tab w:val="left" w:pos="851"/>
        </w:tabs>
        <w:spacing w:line="360" w:lineRule="auto"/>
        <w:ind w:firstLine="851"/>
        <w:contextualSpacing/>
        <w:jc w:val="both"/>
        <w:rPr>
          <w:rFonts w:cs="Times New Roman"/>
          <w:szCs w:val="24"/>
        </w:rPr>
      </w:pPr>
      <w:r w:rsidRPr="00512F62">
        <w:rPr>
          <w:rFonts w:cs="Times New Roman"/>
          <w:szCs w:val="24"/>
        </w:rPr>
        <w:t xml:space="preserve">Atsižvelgdami į tai, kas išdėstyta siūlome svarstyti galimybę inicijuoti galiojančio teisinio reguliavimo tobulinimą užtikrinant didesnę vertintojų teikiamų paslaugų kainos ir kokybės kontrolę tais atvejais, kai turto ar verslo vertinimas yra privalomas ir paslaugą gaunantis vartotojas neturi galimybės pats pasirinkti šios paslaugos teikėjo.  </w:t>
      </w:r>
    </w:p>
    <w:p w14:paraId="12648CD6" w14:textId="2CBA0F5C" w:rsidR="000E2F2E" w:rsidRPr="00512F62" w:rsidRDefault="0064241F" w:rsidP="003B415B">
      <w:pPr>
        <w:tabs>
          <w:tab w:val="left" w:pos="851"/>
        </w:tabs>
        <w:spacing w:line="360" w:lineRule="auto"/>
        <w:ind w:firstLine="851"/>
        <w:contextualSpacing/>
        <w:jc w:val="both"/>
        <w:rPr>
          <w:rFonts w:eastAsia="Times New Roman" w:cs="Times New Roman"/>
          <w:b/>
          <w:bCs/>
          <w:szCs w:val="24"/>
        </w:rPr>
      </w:pPr>
      <w:r w:rsidRPr="00512F62">
        <w:rPr>
          <w:rFonts w:eastAsia="Times New Roman" w:cs="Times New Roman"/>
          <w:b/>
          <w:bCs/>
          <w:szCs w:val="24"/>
        </w:rPr>
        <w:t xml:space="preserve">2. </w:t>
      </w:r>
      <w:r w:rsidR="00A41D3E" w:rsidRPr="00512F62">
        <w:rPr>
          <w:rFonts w:eastAsia="Times New Roman" w:cs="Times New Roman"/>
          <w:b/>
          <w:bCs/>
          <w:szCs w:val="24"/>
        </w:rPr>
        <w:t>Dėl teisės aktų, susijusių su turto arba verslo vertintojo kvalifikacij</w:t>
      </w:r>
      <w:r w:rsidR="00BE0371" w:rsidRPr="00512F62">
        <w:rPr>
          <w:rFonts w:eastAsia="Times New Roman" w:cs="Times New Roman"/>
          <w:b/>
          <w:bCs/>
          <w:szCs w:val="24"/>
        </w:rPr>
        <w:t>a</w:t>
      </w:r>
      <w:r w:rsidR="00A41D3E" w:rsidRPr="00512F62">
        <w:rPr>
          <w:rFonts w:eastAsia="Times New Roman" w:cs="Times New Roman"/>
          <w:b/>
          <w:bCs/>
          <w:szCs w:val="24"/>
        </w:rPr>
        <w:t xml:space="preserve"> </w:t>
      </w:r>
    </w:p>
    <w:p w14:paraId="367BBB25" w14:textId="14BFD2C6" w:rsidR="00545A1F" w:rsidRPr="00512F62" w:rsidRDefault="0064241F" w:rsidP="00C8138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2</w:t>
      </w:r>
      <w:r w:rsidR="00314749" w:rsidRPr="00512F62">
        <w:rPr>
          <w:rFonts w:eastAsia="Times New Roman" w:cs="Times New Roman"/>
          <w:szCs w:val="24"/>
        </w:rPr>
        <w:t xml:space="preserve">.1. </w:t>
      </w:r>
      <w:bookmarkStart w:id="6" w:name="_Hlk12882487"/>
      <w:r w:rsidR="00C2768B" w:rsidRPr="00512F62">
        <w:rPr>
          <w:rFonts w:eastAsia="Times New Roman" w:cs="Times New Roman"/>
          <w:szCs w:val="24"/>
        </w:rPr>
        <w:t>Egzaminų organizavimo taisykl</w:t>
      </w:r>
      <w:r w:rsidR="00C65CEC" w:rsidRPr="00512F62">
        <w:rPr>
          <w:rFonts w:eastAsia="Times New Roman" w:cs="Times New Roman"/>
          <w:szCs w:val="24"/>
        </w:rPr>
        <w:t xml:space="preserve">ių </w:t>
      </w:r>
      <w:bookmarkEnd w:id="6"/>
      <w:r w:rsidR="00C65CEC" w:rsidRPr="00512F62">
        <w:rPr>
          <w:rFonts w:eastAsia="Times New Roman" w:cs="Times New Roman"/>
          <w:szCs w:val="24"/>
        </w:rPr>
        <w:t xml:space="preserve">11 punkte įtvirtinta, kad </w:t>
      </w:r>
      <w:r w:rsidR="00C65CEC" w:rsidRPr="00512F62">
        <w:rPr>
          <w:rFonts w:eastAsia="Times New Roman" w:cs="Times New Roman"/>
          <w:i/>
          <w:iCs/>
          <w:szCs w:val="24"/>
        </w:rPr>
        <w:t>egzamino užduotis</w:t>
      </w:r>
      <w:r w:rsidR="00BC54F0" w:rsidRPr="00512F62">
        <w:rPr>
          <w:rFonts w:eastAsia="Times New Roman" w:cs="Times New Roman"/>
          <w:szCs w:val="24"/>
        </w:rPr>
        <w:t xml:space="preserve"> &lt;...&gt; </w:t>
      </w:r>
      <w:r w:rsidR="00C65CEC" w:rsidRPr="00512F62">
        <w:rPr>
          <w:rFonts w:eastAsia="Times New Roman" w:cs="Times New Roman"/>
          <w:i/>
          <w:iCs/>
          <w:szCs w:val="24"/>
        </w:rPr>
        <w:t xml:space="preserve">rengia </w:t>
      </w:r>
      <w:r w:rsidR="00BC54F0" w:rsidRPr="00512F62">
        <w:rPr>
          <w:rFonts w:eastAsia="Times New Roman" w:cs="Times New Roman"/>
          <w:i/>
          <w:iCs/>
          <w:szCs w:val="24"/>
        </w:rPr>
        <w:t>P</w:t>
      </w:r>
      <w:r w:rsidR="00C65CEC" w:rsidRPr="00512F62">
        <w:rPr>
          <w:rFonts w:eastAsia="Times New Roman" w:cs="Times New Roman"/>
          <w:i/>
          <w:iCs/>
          <w:szCs w:val="24"/>
        </w:rPr>
        <w:t>riežiūros įstaigos direktoriaus sudaryta klausimų ir užduočių rengimo komisija, veikianti pagal priežiūros įstaigos direktoriaus patvirtintą darbo reglamentą</w:t>
      </w:r>
      <w:r w:rsidR="00C65CEC" w:rsidRPr="00512F62">
        <w:rPr>
          <w:rFonts w:eastAsia="Times New Roman" w:cs="Times New Roman"/>
          <w:szCs w:val="24"/>
        </w:rPr>
        <w:t>.</w:t>
      </w:r>
    </w:p>
    <w:p w14:paraId="43C74645" w14:textId="77777777" w:rsidR="00545A1F" w:rsidRPr="00512F62" w:rsidRDefault="00FB0956" w:rsidP="00C8138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Nei Egzaminų organizavimo taisykl</w:t>
      </w:r>
      <w:r w:rsidR="00D85422" w:rsidRPr="00512F62">
        <w:rPr>
          <w:rFonts w:eastAsia="Times New Roman" w:cs="Times New Roman"/>
          <w:szCs w:val="24"/>
        </w:rPr>
        <w:t>ių</w:t>
      </w:r>
      <w:r w:rsidRPr="00512F62">
        <w:rPr>
          <w:rFonts w:eastAsia="Times New Roman" w:cs="Times New Roman"/>
          <w:szCs w:val="24"/>
        </w:rPr>
        <w:t>, nei Įstatym</w:t>
      </w:r>
      <w:r w:rsidR="00D85422" w:rsidRPr="00512F62">
        <w:rPr>
          <w:rFonts w:eastAsia="Times New Roman" w:cs="Times New Roman"/>
          <w:szCs w:val="24"/>
        </w:rPr>
        <w:t>o</w:t>
      </w:r>
      <w:r w:rsidRPr="00512F62">
        <w:rPr>
          <w:rFonts w:eastAsia="Times New Roman" w:cs="Times New Roman"/>
          <w:szCs w:val="24"/>
        </w:rPr>
        <w:t xml:space="preserve">, nei kitų analizuotų teisės aktų nuostatos neatskleidžia minėtos komisijos </w:t>
      </w:r>
      <w:r w:rsidR="00BC54F0" w:rsidRPr="00512F62">
        <w:rPr>
          <w:rFonts w:eastAsia="Times New Roman" w:cs="Times New Roman"/>
          <w:szCs w:val="24"/>
        </w:rPr>
        <w:t xml:space="preserve">sudarymo tvarkos bei veiklos ypatumų, </w:t>
      </w:r>
      <w:r w:rsidR="004023C6" w:rsidRPr="00512F62">
        <w:rPr>
          <w:rFonts w:eastAsia="Times New Roman" w:cs="Times New Roman"/>
          <w:szCs w:val="24"/>
        </w:rPr>
        <w:t xml:space="preserve">egzaminų užduočių rengimo ir atnaujinimo </w:t>
      </w:r>
      <w:r w:rsidR="00BC54F0" w:rsidRPr="00512F62">
        <w:rPr>
          <w:rFonts w:eastAsia="Times New Roman" w:cs="Times New Roman"/>
          <w:szCs w:val="24"/>
        </w:rPr>
        <w:t>periodiškumo</w:t>
      </w:r>
      <w:r w:rsidR="00840186" w:rsidRPr="00512F62">
        <w:rPr>
          <w:rFonts w:eastAsia="Times New Roman" w:cs="Times New Roman"/>
          <w:szCs w:val="24"/>
        </w:rPr>
        <w:t xml:space="preserve"> (</w:t>
      </w:r>
      <w:r w:rsidR="004663E0" w:rsidRPr="00512F62">
        <w:rPr>
          <w:rFonts w:eastAsia="Times New Roman" w:cs="Times New Roman"/>
          <w:szCs w:val="24"/>
        </w:rPr>
        <w:t xml:space="preserve">Komisijos darbo reglamento 4.5 papunktyje nustatyta, kad </w:t>
      </w:r>
      <w:r w:rsidR="004663E0" w:rsidRPr="00512F62">
        <w:rPr>
          <w:rFonts w:eastAsia="Times New Roman" w:cs="Times New Roman"/>
          <w:i/>
          <w:iCs/>
          <w:szCs w:val="24"/>
        </w:rPr>
        <w:t>Egzamino komisija teikia priežiūros įstaigos direktoriaus sudarytai klausimų ir užduočių rengimo komisijai siūlymus peržiūrėti konkrečius ar visus testo klausimus, praktinius uždavinius, atvirus teorinius klausimus bei testo klausimų atsakymus, praktinių uždavinių ar atvirų teorinių klausimų atsakymų gaire</w:t>
      </w:r>
      <w:r w:rsidR="00ED19A8" w:rsidRPr="00512F62">
        <w:rPr>
          <w:rFonts w:eastAsia="Times New Roman" w:cs="Times New Roman"/>
          <w:i/>
          <w:iCs/>
          <w:szCs w:val="24"/>
        </w:rPr>
        <w:t>s</w:t>
      </w:r>
      <w:r w:rsidR="004663E0" w:rsidRPr="00512F62">
        <w:rPr>
          <w:rFonts w:eastAsia="Times New Roman" w:cs="Times New Roman"/>
          <w:szCs w:val="24"/>
        </w:rPr>
        <w:t xml:space="preserve">, taigi, darytina prielaida, kad klausimai nėra rengiami konkrečiam egzaminui, bet </w:t>
      </w:r>
      <w:r w:rsidR="00ED19A8" w:rsidRPr="00512F62">
        <w:rPr>
          <w:rFonts w:eastAsia="Times New Roman" w:cs="Times New Roman"/>
          <w:szCs w:val="24"/>
        </w:rPr>
        <w:t>ilgesniam</w:t>
      </w:r>
      <w:r w:rsidR="004663E0" w:rsidRPr="00512F62">
        <w:rPr>
          <w:rFonts w:eastAsia="Times New Roman" w:cs="Times New Roman"/>
          <w:szCs w:val="24"/>
        </w:rPr>
        <w:t xml:space="preserve"> laikotarpiui)</w:t>
      </w:r>
      <w:r w:rsidR="00ED19A8" w:rsidRPr="00512F62">
        <w:rPr>
          <w:rFonts w:eastAsia="Times New Roman" w:cs="Times New Roman"/>
          <w:szCs w:val="24"/>
        </w:rPr>
        <w:t>;</w:t>
      </w:r>
      <w:r w:rsidR="00296919" w:rsidRPr="00512F62">
        <w:rPr>
          <w:rFonts w:eastAsia="Times New Roman" w:cs="Times New Roman"/>
          <w:szCs w:val="24"/>
        </w:rPr>
        <w:t xml:space="preserve"> šios komisijos narių nu</w:t>
      </w:r>
      <w:r w:rsidR="00840186" w:rsidRPr="00512F62">
        <w:rPr>
          <w:rFonts w:eastAsia="Times New Roman" w:cs="Times New Roman"/>
          <w:szCs w:val="24"/>
        </w:rPr>
        <w:t>(</w:t>
      </w:r>
      <w:r w:rsidR="00296919" w:rsidRPr="00512F62">
        <w:rPr>
          <w:rFonts w:eastAsia="Times New Roman" w:cs="Times New Roman"/>
          <w:szCs w:val="24"/>
        </w:rPr>
        <w:t>si</w:t>
      </w:r>
      <w:r w:rsidR="00840186" w:rsidRPr="00512F62">
        <w:rPr>
          <w:rFonts w:eastAsia="Times New Roman" w:cs="Times New Roman"/>
          <w:szCs w:val="24"/>
        </w:rPr>
        <w:t>)</w:t>
      </w:r>
      <w:r w:rsidR="00296919" w:rsidRPr="00512F62">
        <w:rPr>
          <w:rFonts w:eastAsia="Times New Roman" w:cs="Times New Roman"/>
          <w:szCs w:val="24"/>
        </w:rPr>
        <w:t>šalinimo tvark</w:t>
      </w:r>
      <w:r w:rsidR="00DA6FFF" w:rsidRPr="00512F62">
        <w:rPr>
          <w:rFonts w:eastAsia="Times New Roman" w:cs="Times New Roman"/>
          <w:szCs w:val="24"/>
        </w:rPr>
        <w:t>os</w:t>
      </w:r>
      <w:r w:rsidR="00296919" w:rsidRPr="00512F62">
        <w:rPr>
          <w:rFonts w:eastAsia="Times New Roman" w:cs="Times New Roman"/>
          <w:szCs w:val="24"/>
        </w:rPr>
        <w:t xml:space="preserve"> ir </w:t>
      </w:r>
      <w:r w:rsidR="00840186" w:rsidRPr="00512F62">
        <w:rPr>
          <w:rFonts w:eastAsia="Times New Roman" w:cs="Times New Roman"/>
          <w:szCs w:val="24"/>
        </w:rPr>
        <w:t>momento</w:t>
      </w:r>
      <w:r w:rsidR="00296919" w:rsidRPr="00512F62">
        <w:rPr>
          <w:rFonts w:eastAsia="Times New Roman" w:cs="Times New Roman"/>
          <w:szCs w:val="24"/>
        </w:rPr>
        <w:t xml:space="preserve"> esant galima</w:t>
      </w:r>
      <w:r w:rsidR="00DA6FFF" w:rsidRPr="00512F62">
        <w:rPr>
          <w:rFonts w:eastAsia="Times New Roman" w:cs="Times New Roman"/>
          <w:szCs w:val="24"/>
        </w:rPr>
        <w:t>m</w:t>
      </w:r>
      <w:r w:rsidR="00296919" w:rsidRPr="00512F62">
        <w:rPr>
          <w:rFonts w:eastAsia="Times New Roman" w:cs="Times New Roman"/>
          <w:szCs w:val="24"/>
        </w:rPr>
        <w:t xml:space="preserve"> intereso konfliktui (</w:t>
      </w:r>
      <w:r w:rsidR="00840186" w:rsidRPr="00512F62">
        <w:rPr>
          <w:rFonts w:eastAsia="Times New Roman" w:cs="Times New Roman"/>
          <w:szCs w:val="24"/>
        </w:rPr>
        <w:t xml:space="preserve">iš teisinio reguliavimo </w:t>
      </w:r>
      <w:r w:rsidR="00296919" w:rsidRPr="00512F62">
        <w:rPr>
          <w:rFonts w:eastAsia="Times New Roman" w:cs="Times New Roman"/>
          <w:szCs w:val="24"/>
        </w:rPr>
        <w:t>nėra aišku, ar klausimų ir užduočių rengimo komisijos nariai yra informuojami apie egzamino dalyvių skaičių ir ar jiems atskleidžiama egzaminuojamųjų tapatybė</w:t>
      </w:r>
      <w:r w:rsidR="0066711A" w:rsidRPr="00512F62">
        <w:rPr>
          <w:rFonts w:eastAsia="Times New Roman" w:cs="Times New Roman"/>
          <w:szCs w:val="24"/>
        </w:rPr>
        <w:t>, dėl ko gali kilti viešųjų ir privačių interesų konfliktas</w:t>
      </w:r>
      <w:r w:rsidR="00296919" w:rsidRPr="00512F62">
        <w:rPr>
          <w:rFonts w:eastAsia="Times New Roman" w:cs="Times New Roman"/>
          <w:szCs w:val="24"/>
        </w:rPr>
        <w:t>)</w:t>
      </w:r>
      <w:r w:rsidR="00BC54F0" w:rsidRPr="00512F62">
        <w:rPr>
          <w:rFonts w:eastAsia="Times New Roman" w:cs="Times New Roman"/>
          <w:szCs w:val="24"/>
        </w:rPr>
        <w:t xml:space="preserve">. </w:t>
      </w:r>
    </w:p>
    <w:p w14:paraId="4EDF9803" w14:textId="77777777" w:rsidR="00B81ABE" w:rsidRPr="00512F62" w:rsidRDefault="00377B76" w:rsidP="00C8138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lastRenderedPageBreak/>
        <w:t xml:space="preserve">Analogiška pastaba </w:t>
      </w:r>
      <w:r w:rsidR="00AC7DF1" w:rsidRPr="00512F62">
        <w:rPr>
          <w:rFonts w:eastAsia="Times New Roman" w:cs="Times New Roman"/>
          <w:szCs w:val="24"/>
        </w:rPr>
        <w:t xml:space="preserve">dėl sudarymo tvarkos, narių kompetencijos, nešališkumo </w:t>
      </w:r>
      <w:r w:rsidRPr="00512F62">
        <w:rPr>
          <w:rFonts w:eastAsia="Times New Roman" w:cs="Times New Roman"/>
          <w:szCs w:val="24"/>
        </w:rPr>
        <w:t>taikytina ir</w:t>
      </w:r>
      <w:r w:rsidR="00B81ABE" w:rsidRPr="00512F62">
        <w:rPr>
          <w:rFonts w:eastAsia="Times New Roman" w:cs="Times New Roman"/>
          <w:szCs w:val="24"/>
        </w:rPr>
        <w:t>:</w:t>
      </w:r>
    </w:p>
    <w:p w14:paraId="72D787D9" w14:textId="77777777" w:rsidR="00B81ABE" w:rsidRPr="00512F62" w:rsidRDefault="00B81ABE" w:rsidP="00C8138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w:t>
      </w:r>
      <w:r w:rsidR="00377B76" w:rsidRPr="00512F62">
        <w:rPr>
          <w:rFonts w:eastAsia="Times New Roman" w:cs="Times New Roman"/>
          <w:szCs w:val="24"/>
        </w:rPr>
        <w:t xml:space="preserve"> Egzaminų organizavimo taisyklių 18</w:t>
      </w:r>
      <w:r w:rsidR="00713AA1" w:rsidRPr="00512F62">
        <w:rPr>
          <w:rStyle w:val="FootnoteReference"/>
          <w:rFonts w:eastAsia="Times New Roman"/>
          <w:szCs w:val="24"/>
        </w:rPr>
        <w:footnoteReference w:id="3"/>
      </w:r>
      <w:r w:rsidR="00377B76" w:rsidRPr="00512F62">
        <w:rPr>
          <w:rFonts w:eastAsia="Times New Roman" w:cs="Times New Roman"/>
          <w:szCs w:val="24"/>
        </w:rPr>
        <w:t xml:space="preserve"> </w:t>
      </w:r>
      <w:r w:rsidR="00B65871" w:rsidRPr="00512F62">
        <w:rPr>
          <w:rFonts w:eastAsia="Times New Roman" w:cs="Times New Roman"/>
          <w:szCs w:val="24"/>
        </w:rPr>
        <w:t>bei 26</w:t>
      </w:r>
      <w:r w:rsidR="00857A13" w:rsidRPr="00512F62">
        <w:rPr>
          <w:rStyle w:val="FootnoteReference"/>
          <w:rFonts w:eastAsia="Times New Roman"/>
          <w:szCs w:val="24"/>
        </w:rPr>
        <w:footnoteReference w:id="4"/>
      </w:r>
      <w:r w:rsidR="00B65871" w:rsidRPr="00512F62">
        <w:rPr>
          <w:rFonts w:eastAsia="Times New Roman" w:cs="Times New Roman"/>
          <w:szCs w:val="24"/>
        </w:rPr>
        <w:t xml:space="preserve"> punkte </w:t>
      </w:r>
      <w:r w:rsidR="00377B76" w:rsidRPr="00512F62">
        <w:rPr>
          <w:rFonts w:eastAsia="Times New Roman" w:cs="Times New Roman"/>
          <w:szCs w:val="24"/>
        </w:rPr>
        <w:t>minimai egzamino stebėtojo</w:t>
      </w:r>
      <w:r w:rsidR="00B65871" w:rsidRPr="00512F62">
        <w:rPr>
          <w:rFonts w:eastAsia="Times New Roman" w:cs="Times New Roman"/>
          <w:szCs w:val="24"/>
        </w:rPr>
        <w:t xml:space="preserve"> (-jų)</w:t>
      </w:r>
      <w:r w:rsidR="00377B76" w:rsidRPr="00512F62">
        <w:rPr>
          <w:rFonts w:eastAsia="Times New Roman" w:cs="Times New Roman"/>
          <w:szCs w:val="24"/>
        </w:rPr>
        <w:t xml:space="preserve"> pareigybei – vertintuose teisės aktuose nėra reglamentuota jo skyrimo ar atrankos tvarka, kadencij</w:t>
      </w:r>
      <w:r w:rsidR="00090443" w:rsidRPr="00512F62">
        <w:rPr>
          <w:rFonts w:eastAsia="Times New Roman" w:cs="Times New Roman"/>
          <w:szCs w:val="24"/>
        </w:rPr>
        <w:t>os trukmė</w:t>
      </w:r>
      <w:r w:rsidR="00377B76" w:rsidRPr="00512F62">
        <w:rPr>
          <w:rFonts w:eastAsia="Times New Roman" w:cs="Times New Roman"/>
          <w:szCs w:val="24"/>
        </w:rPr>
        <w:t xml:space="preserve">, priskirtos funkcijos </w:t>
      </w:r>
      <w:r w:rsidR="00090443" w:rsidRPr="00512F62">
        <w:rPr>
          <w:rFonts w:eastAsia="Times New Roman" w:cs="Times New Roman"/>
          <w:szCs w:val="24"/>
        </w:rPr>
        <w:t xml:space="preserve">bei </w:t>
      </w:r>
      <w:r w:rsidR="00377B76" w:rsidRPr="00512F62">
        <w:rPr>
          <w:rFonts w:eastAsia="Times New Roman" w:cs="Times New Roman"/>
          <w:szCs w:val="24"/>
        </w:rPr>
        <w:t xml:space="preserve">kiti aktualūs </w:t>
      </w:r>
      <w:r w:rsidR="00090443" w:rsidRPr="00512F62">
        <w:rPr>
          <w:rFonts w:eastAsia="Times New Roman" w:cs="Times New Roman"/>
          <w:szCs w:val="24"/>
        </w:rPr>
        <w:t xml:space="preserve">jo dalyvavimui egzamine </w:t>
      </w:r>
      <w:r w:rsidR="00377B76" w:rsidRPr="00512F62">
        <w:rPr>
          <w:rFonts w:eastAsia="Times New Roman" w:cs="Times New Roman"/>
          <w:szCs w:val="24"/>
        </w:rPr>
        <w:t>aspektai</w:t>
      </w:r>
      <w:r w:rsidRPr="00512F62">
        <w:rPr>
          <w:rFonts w:eastAsia="Times New Roman" w:cs="Times New Roman"/>
          <w:szCs w:val="24"/>
        </w:rPr>
        <w:t>;</w:t>
      </w:r>
    </w:p>
    <w:p w14:paraId="51838B17" w14:textId="77777777" w:rsidR="00377B76" w:rsidRPr="00512F62" w:rsidRDefault="00B81ABE" w:rsidP="00C8138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Komisijos darbo reglamento 8 punkt</w:t>
      </w:r>
      <w:r w:rsidR="005829ED" w:rsidRPr="00512F62">
        <w:rPr>
          <w:rFonts w:eastAsia="Times New Roman" w:cs="Times New Roman"/>
          <w:szCs w:val="24"/>
        </w:rPr>
        <w:t xml:space="preserve">ui, kuriame įtvirtinta, kad </w:t>
      </w:r>
      <w:r w:rsidR="005829ED" w:rsidRPr="00512F62">
        <w:rPr>
          <w:rFonts w:eastAsia="Times New Roman" w:cs="Times New Roman"/>
          <w:i/>
          <w:iCs/>
          <w:szCs w:val="24"/>
        </w:rPr>
        <w:t>į Egzamino komisijos posėdžius prireikus gali būti kviečiami valstybės institucijų, įstaigų ir (ar) organizacijų atstovai</w:t>
      </w:r>
      <w:r w:rsidR="005829ED" w:rsidRPr="00512F62">
        <w:rPr>
          <w:rFonts w:eastAsia="Times New Roman" w:cs="Times New Roman"/>
          <w:szCs w:val="24"/>
        </w:rPr>
        <w:t xml:space="preserve"> – nėra aišku, kokie </w:t>
      </w:r>
      <w:r w:rsidR="00C84DFC" w:rsidRPr="00512F62">
        <w:rPr>
          <w:rFonts w:eastAsia="Times New Roman" w:cs="Times New Roman"/>
          <w:szCs w:val="24"/>
        </w:rPr>
        <w:t>asmenys ir kokiu tikslu gali būti kviečiami į vertintojų egzaminą</w:t>
      </w:r>
      <w:r w:rsidR="005829ED" w:rsidRPr="00512F62">
        <w:rPr>
          <w:rFonts w:eastAsia="Times New Roman" w:cs="Times New Roman"/>
          <w:szCs w:val="24"/>
        </w:rPr>
        <w:t xml:space="preserve">: ar siekiant užtikrinti egzamino kontrolės skaidrumą, ar siekiant kitų tikslų ir pan.  </w:t>
      </w:r>
    </w:p>
    <w:p w14:paraId="3E7BC38D" w14:textId="77777777" w:rsidR="00822393" w:rsidRPr="00512F62" w:rsidRDefault="00822393" w:rsidP="00C8138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Pripažinimo tvarkos</w:t>
      </w:r>
      <w:r w:rsidRPr="00512F62">
        <w:rPr>
          <w:rFonts w:eastAsia="Times New Roman" w:cs="Times New Roman"/>
          <w:b/>
          <w:bCs/>
          <w:szCs w:val="24"/>
        </w:rPr>
        <w:t xml:space="preserve"> </w:t>
      </w:r>
      <w:r w:rsidRPr="00512F62">
        <w:rPr>
          <w:rFonts w:eastAsia="Times New Roman" w:cs="Times New Roman"/>
          <w:szCs w:val="24"/>
        </w:rPr>
        <w:t xml:space="preserve">34 punktui, kuriame įtvirtinta, kad </w:t>
      </w:r>
      <w:r w:rsidRPr="00512F62">
        <w:rPr>
          <w:rFonts w:eastAsia="Times New Roman" w:cs="Times New Roman"/>
          <w:i/>
          <w:iCs/>
          <w:szCs w:val="24"/>
        </w:rPr>
        <w:t xml:space="preserve">profesinio tinkamumo testo laikymą organizuoja kompetentingos institucijos vadovo įsakymu sudaryta Kitų valstybių narių turto arba verslo vertintojų atestavimo komisija, kuri sudaroma iš </w:t>
      </w:r>
      <w:r w:rsidR="00C84DFC" w:rsidRPr="00512F62">
        <w:rPr>
          <w:rFonts w:eastAsia="Times New Roman" w:cs="Times New Roman"/>
          <w:i/>
          <w:iCs/>
          <w:szCs w:val="24"/>
        </w:rPr>
        <w:t>tr</w:t>
      </w:r>
      <w:r w:rsidRPr="00512F62">
        <w:rPr>
          <w:rFonts w:eastAsia="Times New Roman" w:cs="Times New Roman"/>
          <w:i/>
          <w:iCs/>
          <w:szCs w:val="24"/>
        </w:rPr>
        <w:t>ijų asmenų.</w:t>
      </w:r>
      <w:r w:rsidRPr="00512F62">
        <w:rPr>
          <w:rFonts w:eastAsia="Times New Roman" w:cs="Times New Roman"/>
          <w:szCs w:val="24"/>
        </w:rPr>
        <w:t xml:space="preserve"> </w:t>
      </w:r>
    </w:p>
    <w:p w14:paraId="2D09DC07" w14:textId="77777777" w:rsidR="00551698" w:rsidRPr="00512F62" w:rsidRDefault="00551698" w:rsidP="00C84DFC">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 Įstatymo 28 straipsnio 1 daliai, įtvirtinančiai, kad </w:t>
      </w:r>
      <w:r w:rsidR="00C84DFC" w:rsidRPr="00512F62">
        <w:rPr>
          <w:rFonts w:cs="Times New Roman"/>
          <w:i/>
          <w:iCs/>
          <w:szCs w:val="24"/>
        </w:rPr>
        <w:t>Turto arba verslo vertintojų garbės teismą sudaro penki nariai</w:t>
      </w:r>
      <w:r w:rsidR="00C84DFC" w:rsidRPr="00512F62">
        <w:rPr>
          <w:rFonts w:cs="Times New Roman"/>
          <w:szCs w:val="24"/>
        </w:rPr>
        <w:t xml:space="preserve">, iš kurių </w:t>
      </w:r>
      <w:r w:rsidR="00C84DFC" w:rsidRPr="00512F62">
        <w:rPr>
          <w:rFonts w:cs="Times New Roman"/>
          <w:i/>
          <w:iCs/>
          <w:szCs w:val="24"/>
        </w:rPr>
        <w:t>tris narius</w:t>
      </w:r>
      <w:r w:rsidR="00C84DFC" w:rsidRPr="00512F62">
        <w:rPr>
          <w:rFonts w:cs="Times New Roman"/>
          <w:szCs w:val="24"/>
        </w:rPr>
        <w:t xml:space="preserve"> jų sutikimu, turinčius ne žemesnę kaip vertintojo (aukštesnę) kvalifikaciją, tarpusavio sutarimu </w:t>
      </w:r>
      <w:r w:rsidR="00C84DFC" w:rsidRPr="00512F62">
        <w:rPr>
          <w:rFonts w:cs="Times New Roman"/>
          <w:i/>
          <w:iCs/>
          <w:szCs w:val="24"/>
        </w:rPr>
        <w:t>skiria asociacijos, vienijančios tik turto ir (arba) verslo vertintojus ir (arba) turto arba verslo vertinimo įmones</w:t>
      </w:r>
      <w:r w:rsidR="00C84DFC" w:rsidRPr="00512F62">
        <w:rPr>
          <w:rFonts w:cs="Times New Roman"/>
          <w:szCs w:val="24"/>
        </w:rPr>
        <w:t xml:space="preserve">, iš tik turto ir (arba) verslo vertintojus vienijančių asociacijų narių ir (arba) tik turto arba verslo vertintojų, kurie turto arba verslo vertinimo įmonių asociacijų narėse dirba darbo sutarties pagrindais arba kurie yra individualios įmonės savininkai ar ūkinės bendrijos tikrieji nariai; </w:t>
      </w:r>
      <w:r w:rsidR="00C84DFC" w:rsidRPr="00512F62">
        <w:rPr>
          <w:rFonts w:cs="Times New Roman"/>
          <w:i/>
          <w:iCs/>
          <w:szCs w:val="24"/>
        </w:rPr>
        <w:t>du narius</w:t>
      </w:r>
      <w:r w:rsidR="00C84DFC" w:rsidRPr="00512F62">
        <w:rPr>
          <w:rFonts w:cs="Times New Roman"/>
          <w:szCs w:val="24"/>
        </w:rPr>
        <w:t xml:space="preserve"> </w:t>
      </w:r>
      <w:r w:rsidR="00B12F92" w:rsidRPr="00512F62">
        <w:rPr>
          <w:rFonts w:cs="Times New Roman"/>
          <w:szCs w:val="24"/>
        </w:rPr>
        <w:t xml:space="preserve">– </w:t>
      </w:r>
      <w:r w:rsidR="00C84DFC" w:rsidRPr="00512F62">
        <w:rPr>
          <w:rFonts w:cs="Times New Roman"/>
          <w:szCs w:val="24"/>
        </w:rPr>
        <w:t xml:space="preserve">valstybės tarnautojus jų sutikimu, turinčius ne mažesnį kaip trejų metų valstybės tarnybos stažą ir turto arba verslo vertinimą reglamentuojančių teisės aktų projektų rengimo arba dalyvavimo juos rengiant patirtį, </w:t>
      </w:r>
      <w:r w:rsidR="00C84DFC" w:rsidRPr="00512F62">
        <w:rPr>
          <w:rFonts w:cs="Times New Roman"/>
          <w:i/>
          <w:iCs/>
          <w:szCs w:val="24"/>
        </w:rPr>
        <w:t>skiria Finansų ministerija</w:t>
      </w:r>
      <w:r w:rsidR="00C84DFC" w:rsidRPr="00512F62">
        <w:rPr>
          <w:rFonts w:cs="Times New Roman"/>
          <w:szCs w:val="24"/>
        </w:rPr>
        <w:t xml:space="preserve">. </w:t>
      </w:r>
      <w:r w:rsidR="00580994" w:rsidRPr="00512F62">
        <w:rPr>
          <w:rFonts w:cs="Times New Roman"/>
          <w:i/>
          <w:iCs/>
          <w:szCs w:val="24"/>
        </w:rPr>
        <w:t xml:space="preserve">Nurodytoms asociacijoms neskyrus Garbės teismo narių, Priežiūros įstaiga juos skiria iš daugiausia narių turinčių asociacijų, vienijančių tik </w:t>
      </w:r>
      <w:r w:rsidR="00580994" w:rsidRPr="00512F62">
        <w:rPr>
          <w:rFonts w:cs="Times New Roman"/>
          <w:i/>
          <w:iCs/>
          <w:szCs w:val="24"/>
        </w:rPr>
        <w:lastRenderedPageBreak/>
        <w:t>turto arba verslo vertintojus ir (arba) turto arba verslo vertinimo įmones, narių turto arba verslo vertintojų jų sutikimu</w:t>
      </w:r>
      <w:r w:rsidR="00580994" w:rsidRPr="00512F62">
        <w:rPr>
          <w:rFonts w:cs="Times New Roman"/>
          <w:szCs w:val="24"/>
        </w:rPr>
        <w:t xml:space="preserve"> (Įstatymo 28 straipsnio 3 dalis). </w:t>
      </w:r>
      <w:r w:rsidR="00A47BEB" w:rsidRPr="00512F62">
        <w:rPr>
          <w:rFonts w:cs="Times New Roman"/>
          <w:szCs w:val="24"/>
        </w:rPr>
        <w:t xml:space="preserve">Nei Įstatyme, nei </w:t>
      </w:r>
      <w:r w:rsidR="00A47BEB" w:rsidRPr="00512F62">
        <w:rPr>
          <w:rFonts w:eastAsia="Times New Roman" w:cs="Times New Roman"/>
          <w:szCs w:val="24"/>
        </w:rPr>
        <w:t>Garbės teismo nuostatuose nedetalizuojami kompetencijos, profesinės patirties, nepriekaištingos reputacijos</w:t>
      </w:r>
      <w:r w:rsidR="00AE1A1E" w:rsidRPr="00512F62">
        <w:rPr>
          <w:rFonts w:eastAsia="Times New Roman" w:cs="Times New Roman"/>
          <w:szCs w:val="24"/>
        </w:rPr>
        <w:t xml:space="preserve"> ar kiti</w:t>
      </w:r>
      <w:r w:rsidR="00A47BEB" w:rsidRPr="00512F62">
        <w:rPr>
          <w:rFonts w:eastAsia="Times New Roman" w:cs="Times New Roman"/>
          <w:szCs w:val="24"/>
        </w:rPr>
        <w:t xml:space="preserve"> reikalavimai </w:t>
      </w:r>
      <w:r w:rsidR="00AE1A1E" w:rsidRPr="00512F62">
        <w:rPr>
          <w:rFonts w:eastAsia="Times New Roman" w:cs="Times New Roman"/>
          <w:szCs w:val="24"/>
        </w:rPr>
        <w:t xml:space="preserve">Garbės teismo nariams. </w:t>
      </w:r>
      <w:r w:rsidR="00A47BEB" w:rsidRPr="00512F62">
        <w:rPr>
          <w:rFonts w:eastAsia="Times New Roman" w:cs="Times New Roman"/>
          <w:szCs w:val="24"/>
        </w:rPr>
        <w:t xml:space="preserve"> </w:t>
      </w:r>
      <w:r w:rsidR="00C84DFC" w:rsidRPr="00512F62">
        <w:rPr>
          <w:rFonts w:cs="Times New Roman"/>
          <w:szCs w:val="24"/>
        </w:rPr>
        <w:t xml:space="preserve"> </w:t>
      </w:r>
    </w:p>
    <w:p w14:paraId="6E4AD048" w14:textId="77777777" w:rsidR="00377B76" w:rsidRPr="00512F62" w:rsidRDefault="00377B76" w:rsidP="00C8138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Atsižvigdami į tai, siūlome atitinkamai patikslinti aukščiau minėtas</w:t>
      </w:r>
      <w:r w:rsidR="00822393" w:rsidRPr="00512F62">
        <w:rPr>
          <w:rFonts w:eastAsia="Times New Roman" w:cs="Times New Roman"/>
          <w:szCs w:val="24"/>
        </w:rPr>
        <w:t xml:space="preserve"> teisės aktų</w:t>
      </w:r>
      <w:r w:rsidRPr="00512F62">
        <w:rPr>
          <w:rFonts w:eastAsia="Times New Roman" w:cs="Times New Roman"/>
          <w:szCs w:val="24"/>
        </w:rPr>
        <w:t xml:space="preserve"> nuostatas.     </w:t>
      </w:r>
    </w:p>
    <w:p w14:paraId="47254EE5" w14:textId="5A1E4E01" w:rsidR="0059528D" w:rsidRPr="00512F62" w:rsidRDefault="0064241F" w:rsidP="00C8138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2</w:t>
      </w:r>
      <w:r w:rsidR="00545A1F" w:rsidRPr="00512F62">
        <w:rPr>
          <w:rFonts w:eastAsia="Times New Roman" w:cs="Times New Roman"/>
          <w:szCs w:val="24"/>
        </w:rPr>
        <w:t xml:space="preserve">.2. </w:t>
      </w:r>
      <w:r w:rsidR="00AD2C4B" w:rsidRPr="00512F62">
        <w:rPr>
          <w:rFonts w:eastAsia="Times New Roman" w:cs="Times New Roman"/>
          <w:szCs w:val="24"/>
        </w:rPr>
        <w:t xml:space="preserve">Egzaminų organizavimo taisyklių 21 punkte nustatyta, kad </w:t>
      </w:r>
      <w:r w:rsidR="00605488" w:rsidRPr="00512F62">
        <w:rPr>
          <w:rFonts w:eastAsia="Times New Roman" w:cs="Times New Roman"/>
          <w:i/>
          <w:iCs/>
          <w:szCs w:val="24"/>
        </w:rPr>
        <w:t>dalyviui, neatvykusiam laikyti egzamino dėl priežasčių, Egzamino komisijos pripažintų svarbiomis, jo prašymu sudaroma galimybė egzaminą laikyti artimiausio egzamino metu</w:t>
      </w:r>
      <w:r w:rsidR="00605488" w:rsidRPr="00512F62">
        <w:rPr>
          <w:rFonts w:eastAsia="Times New Roman" w:cs="Times New Roman"/>
          <w:szCs w:val="24"/>
        </w:rPr>
        <w:t>.</w:t>
      </w:r>
      <w:r w:rsidR="00CE65B9" w:rsidRPr="00512F62">
        <w:rPr>
          <w:rFonts w:eastAsia="Times New Roman" w:cs="Times New Roman"/>
          <w:szCs w:val="24"/>
        </w:rPr>
        <w:t xml:space="preserve"> Tačiau teisės akte nedetalizuotos svarbiomis laikytinos priežastys, todėl komisijai suteikiama </w:t>
      </w:r>
      <w:r w:rsidR="00507BA5" w:rsidRPr="00512F62">
        <w:rPr>
          <w:rFonts w:eastAsia="Times New Roman" w:cs="Times New Roman"/>
          <w:szCs w:val="24"/>
        </w:rPr>
        <w:t xml:space="preserve">plati </w:t>
      </w:r>
      <w:r w:rsidR="00CE65B9" w:rsidRPr="00512F62">
        <w:rPr>
          <w:rFonts w:eastAsia="Times New Roman" w:cs="Times New Roman"/>
          <w:szCs w:val="24"/>
        </w:rPr>
        <w:t>diskrecija</w:t>
      </w:r>
      <w:r w:rsidR="00A20770" w:rsidRPr="00512F62">
        <w:rPr>
          <w:rFonts w:eastAsia="Times New Roman" w:cs="Times New Roman"/>
          <w:szCs w:val="24"/>
        </w:rPr>
        <w:t xml:space="preserve"> kiekvienu atveju atskirai spręsti, leisti laikyti egzaminą </w:t>
      </w:r>
      <w:r w:rsidR="0059528D" w:rsidRPr="00512F62">
        <w:rPr>
          <w:rFonts w:eastAsia="Times New Roman" w:cs="Times New Roman"/>
          <w:szCs w:val="24"/>
        </w:rPr>
        <w:t>artimiausiu metu ar per vienerius metus nuo prašymo leisti laikyti egzaminą kitą kartą pateikimo.</w:t>
      </w:r>
      <w:r w:rsidR="00CE65B9" w:rsidRPr="00512F62">
        <w:rPr>
          <w:rFonts w:eastAsia="Times New Roman" w:cs="Times New Roman"/>
          <w:szCs w:val="24"/>
        </w:rPr>
        <w:t xml:space="preserve"> </w:t>
      </w:r>
    </w:p>
    <w:p w14:paraId="7D508107" w14:textId="77777777" w:rsidR="00AD2C4B" w:rsidRPr="00512F62" w:rsidRDefault="0059528D" w:rsidP="00C8138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Siūlome patikslinti</w:t>
      </w:r>
      <w:r w:rsidRPr="00512F62">
        <w:rPr>
          <w:rFonts w:cs="Times New Roman"/>
          <w:szCs w:val="24"/>
        </w:rPr>
        <w:t xml:space="preserve"> </w:t>
      </w:r>
      <w:r w:rsidRPr="00512F62">
        <w:rPr>
          <w:rFonts w:eastAsia="Times New Roman" w:cs="Times New Roman"/>
          <w:szCs w:val="24"/>
        </w:rPr>
        <w:t>Egzaminų organizavimo taisyklių 21 punktą, įvardijant svarbiomis laikytinas priežastis.</w:t>
      </w:r>
    </w:p>
    <w:p w14:paraId="1472E195" w14:textId="31C70833" w:rsidR="00C81387" w:rsidRPr="00512F62" w:rsidRDefault="0064241F" w:rsidP="00C8138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2</w:t>
      </w:r>
      <w:r w:rsidR="00AD2C4B" w:rsidRPr="00512F62">
        <w:rPr>
          <w:rFonts w:eastAsia="Times New Roman" w:cs="Times New Roman"/>
          <w:szCs w:val="24"/>
        </w:rPr>
        <w:t xml:space="preserve">.3. </w:t>
      </w:r>
      <w:r w:rsidR="00BE0371" w:rsidRPr="00512F62">
        <w:rPr>
          <w:rFonts w:eastAsia="Times New Roman" w:cs="Times New Roman"/>
          <w:szCs w:val="24"/>
        </w:rPr>
        <w:t xml:space="preserve">Analizuotuose teisės aktuose labai išsamiai įvardinti reikalavimai, taikomi turto arba verslo vertintojo kvalifikacijai, jos kėlimui ir duomenų apie tai pateikimui </w:t>
      </w:r>
      <w:r w:rsidR="00C81387" w:rsidRPr="00512F62">
        <w:rPr>
          <w:rFonts w:eastAsia="Times New Roman" w:cs="Times New Roman"/>
          <w:szCs w:val="24"/>
        </w:rPr>
        <w:t>Priežiūros įstaiga</w:t>
      </w:r>
      <w:r w:rsidR="000E556D" w:rsidRPr="00512F62">
        <w:rPr>
          <w:rFonts w:eastAsia="Times New Roman" w:cs="Times New Roman"/>
          <w:szCs w:val="24"/>
        </w:rPr>
        <w:t>i</w:t>
      </w:r>
      <w:r w:rsidR="005158AF" w:rsidRPr="00512F62">
        <w:rPr>
          <w:rFonts w:eastAsia="Times New Roman" w:cs="Times New Roman"/>
          <w:szCs w:val="24"/>
        </w:rPr>
        <w:t>, sankcijos už kvalifikacijos nekėlimą ar informacijos apie tai nepateikimą</w:t>
      </w:r>
      <w:r w:rsidR="00F679D3" w:rsidRPr="00512F62">
        <w:rPr>
          <w:rFonts w:eastAsia="Times New Roman" w:cs="Times New Roman"/>
          <w:szCs w:val="24"/>
        </w:rPr>
        <w:t xml:space="preserve"> kontroliuojančiam subjektui</w:t>
      </w:r>
      <w:r w:rsidR="002B03D3" w:rsidRPr="00512F62">
        <w:rPr>
          <w:rFonts w:eastAsia="Times New Roman" w:cs="Times New Roman"/>
          <w:szCs w:val="24"/>
        </w:rPr>
        <w:t>, tarp kurių – ir vertintojo kvalifikacijos pažymėjimo galiojimo sustabdymas</w:t>
      </w:r>
      <w:r w:rsidR="009D1AB3" w:rsidRPr="00512F62">
        <w:rPr>
          <w:rFonts w:eastAsia="Times New Roman" w:cs="Times New Roman"/>
          <w:szCs w:val="24"/>
        </w:rPr>
        <w:t xml:space="preserve"> (Įstatymo 10 straipsnio 3 dalies 3 ir 4 punktai)</w:t>
      </w:r>
      <w:r w:rsidR="00FE5A89" w:rsidRPr="00512F62">
        <w:rPr>
          <w:rFonts w:eastAsia="Times New Roman" w:cs="Times New Roman"/>
          <w:szCs w:val="24"/>
        </w:rPr>
        <w:t>.</w:t>
      </w:r>
      <w:r w:rsidR="00E21DE0" w:rsidRPr="00512F62">
        <w:rPr>
          <w:rFonts w:eastAsia="Times New Roman" w:cs="Times New Roman"/>
          <w:szCs w:val="24"/>
        </w:rPr>
        <w:t xml:space="preserve"> </w:t>
      </w:r>
    </w:p>
    <w:p w14:paraId="1644C44F" w14:textId="77777777" w:rsidR="000E2F2E" w:rsidRPr="00512F62" w:rsidRDefault="00F679D3" w:rsidP="00FF028D">
      <w:pPr>
        <w:tabs>
          <w:tab w:val="left" w:pos="851"/>
        </w:tabs>
        <w:spacing w:line="360" w:lineRule="auto"/>
        <w:ind w:firstLine="851"/>
        <w:contextualSpacing/>
        <w:jc w:val="both"/>
        <w:rPr>
          <w:rFonts w:eastAsia="Times New Roman" w:cs="Times New Roman"/>
          <w:szCs w:val="24"/>
        </w:rPr>
      </w:pPr>
      <w:bookmarkStart w:id="7" w:name="_Hlk11930857"/>
      <w:r w:rsidRPr="00512F62">
        <w:rPr>
          <w:rFonts w:eastAsia="Times New Roman" w:cs="Times New Roman"/>
          <w:szCs w:val="24"/>
        </w:rPr>
        <w:t xml:space="preserve">2019 m. liepos 1 d. įsigaliojusio </w:t>
      </w:r>
      <w:r w:rsidR="00EE7ED3" w:rsidRPr="00512F62">
        <w:rPr>
          <w:rFonts w:eastAsia="Times New Roman" w:cs="Times New Roman"/>
          <w:szCs w:val="24"/>
        </w:rPr>
        <w:t>Kvalifikacijos reikalavimų aprašo 6</w:t>
      </w:r>
      <w:r w:rsidR="008C24D0" w:rsidRPr="00512F62">
        <w:rPr>
          <w:rFonts w:eastAsia="Times New Roman" w:cs="Times New Roman"/>
          <w:szCs w:val="24"/>
        </w:rPr>
        <w:t xml:space="preserve"> punkte</w:t>
      </w:r>
      <w:bookmarkEnd w:id="7"/>
      <w:r w:rsidR="008C24D0" w:rsidRPr="00512F62">
        <w:rPr>
          <w:rFonts w:eastAsia="Times New Roman" w:cs="Times New Roman"/>
          <w:szCs w:val="24"/>
        </w:rPr>
        <w:t xml:space="preserve"> įtvirtinta, kad v</w:t>
      </w:r>
      <w:r w:rsidR="00EE7ED3" w:rsidRPr="00512F62">
        <w:rPr>
          <w:rFonts w:eastAsia="Times New Roman" w:cs="Times New Roman"/>
          <w:szCs w:val="24"/>
        </w:rPr>
        <w:t xml:space="preserve">ertintojo kvalifikacijos kėlimas per paskutinius 3 metus turi sudaryti ne mažiau kaip </w:t>
      </w:r>
      <w:r w:rsidR="00F21DFD" w:rsidRPr="00512F62">
        <w:rPr>
          <w:rFonts w:eastAsia="Times New Roman" w:cs="Times New Roman"/>
          <w:szCs w:val="24"/>
        </w:rPr>
        <w:t>60</w:t>
      </w:r>
      <w:r w:rsidR="00EE7ED3" w:rsidRPr="00512F62">
        <w:rPr>
          <w:rFonts w:eastAsia="Times New Roman" w:cs="Times New Roman"/>
          <w:szCs w:val="24"/>
        </w:rPr>
        <w:t xml:space="preserve"> valand</w:t>
      </w:r>
      <w:r w:rsidR="00F21DFD" w:rsidRPr="00512F62">
        <w:rPr>
          <w:rFonts w:eastAsia="Times New Roman" w:cs="Times New Roman"/>
          <w:szCs w:val="24"/>
        </w:rPr>
        <w:t>ų</w:t>
      </w:r>
      <w:r w:rsidR="00EE7ED3" w:rsidRPr="00512F62">
        <w:rPr>
          <w:rFonts w:eastAsia="Times New Roman" w:cs="Times New Roman"/>
          <w:szCs w:val="24"/>
        </w:rPr>
        <w:t xml:space="preserve">. </w:t>
      </w:r>
    </w:p>
    <w:p w14:paraId="672BC07F" w14:textId="77777777" w:rsidR="003A1B0F" w:rsidRPr="00512F62" w:rsidRDefault="003A1B0F" w:rsidP="003A1B0F">
      <w:pPr>
        <w:tabs>
          <w:tab w:val="left" w:pos="851"/>
        </w:tabs>
        <w:spacing w:line="360" w:lineRule="auto"/>
        <w:ind w:firstLine="851"/>
        <w:contextualSpacing/>
        <w:jc w:val="both"/>
        <w:rPr>
          <w:rFonts w:eastAsia="Times New Roman" w:cs="Times New Roman"/>
          <w:i/>
          <w:iCs/>
          <w:szCs w:val="24"/>
        </w:rPr>
      </w:pPr>
      <w:r w:rsidRPr="00512F62">
        <w:rPr>
          <w:rFonts w:eastAsia="Times New Roman" w:cs="Times New Roman"/>
          <w:szCs w:val="24"/>
        </w:rPr>
        <w:t xml:space="preserve">Kvalifikacijos reikalavimų aprašo 8.1 papunktyje nustatyta, kad kvalifikacijos kėlimo priemonėmis laikoma, be kita ko, </w:t>
      </w:r>
      <w:r w:rsidRPr="00512F62">
        <w:rPr>
          <w:rFonts w:eastAsia="Times New Roman" w:cs="Times New Roman"/>
          <w:i/>
          <w:iCs/>
          <w:szCs w:val="24"/>
        </w:rPr>
        <w:t>dalyvavimas (klausymas) priežiūros įstaigos, kitų asmenų ir įstaigų, įrašytų į Valstybės tarnybos departamento direktoriaus įsakymu tvirtinamus Fizinių asmenų, teikiančių mokymo paslaugas valstybės tarnautojams ar Valstybės tarnautojų kvalifikacijos tobulinimo įstaigų sąrašus, Europos turto vertintojų asociacijų grupės (TEGoVA), Lietuvos ar Europos Sąjungos valstybių narių asociacijų, vienijančių turto ir (arba) verslo vertintojus ir (arba) turto arba verslo vertinimo įmones, organizuojamuose renginiuose turto ir (arba) verslo vertinimo arba su vertinimu susijusiais klausimais &lt;...&gt;</w:t>
      </w:r>
    </w:p>
    <w:p w14:paraId="1484B203" w14:textId="77777777" w:rsidR="00BF05C0" w:rsidRPr="00512F62" w:rsidRDefault="00605883" w:rsidP="009A4FF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lastRenderedPageBreak/>
        <w:t>Antikorupciniu požiūriu teigiamai vertin</w:t>
      </w:r>
      <w:r w:rsidR="00A124B6" w:rsidRPr="00512F62">
        <w:rPr>
          <w:rFonts w:eastAsia="Times New Roman" w:cs="Times New Roman"/>
          <w:szCs w:val="24"/>
        </w:rPr>
        <w:t>tin</w:t>
      </w:r>
      <w:r w:rsidRPr="00512F62">
        <w:rPr>
          <w:rFonts w:eastAsia="Times New Roman" w:cs="Times New Roman"/>
          <w:szCs w:val="24"/>
        </w:rPr>
        <w:t>a, kad, palyginti su i</w:t>
      </w:r>
      <w:r w:rsidR="003A1B0F" w:rsidRPr="00512F62">
        <w:rPr>
          <w:rFonts w:eastAsia="Times New Roman" w:cs="Times New Roman"/>
          <w:szCs w:val="24"/>
        </w:rPr>
        <w:t>ki 2019</w:t>
      </w:r>
      <w:r w:rsidR="00D7031D" w:rsidRPr="00512F62">
        <w:rPr>
          <w:rFonts w:eastAsia="Times New Roman" w:cs="Times New Roman"/>
          <w:szCs w:val="24"/>
        </w:rPr>
        <w:t xml:space="preserve"> m. liepos 1 d. </w:t>
      </w:r>
      <w:r w:rsidR="003A1B0F" w:rsidRPr="00512F62">
        <w:rPr>
          <w:rFonts w:eastAsia="Times New Roman" w:cs="Times New Roman"/>
          <w:szCs w:val="24"/>
        </w:rPr>
        <w:t>galiojusio</w:t>
      </w:r>
      <w:r w:rsidRPr="00512F62">
        <w:rPr>
          <w:rFonts w:eastAsia="Times New Roman" w:cs="Times New Roman"/>
          <w:szCs w:val="24"/>
        </w:rPr>
        <w:t xml:space="preserve"> </w:t>
      </w:r>
      <w:r w:rsidR="003A1B0F" w:rsidRPr="00512F62">
        <w:rPr>
          <w:rFonts w:eastAsia="Times New Roman" w:cs="Times New Roman"/>
          <w:szCs w:val="24"/>
        </w:rPr>
        <w:t xml:space="preserve">aprašo </w:t>
      </w:r>
      <w:r w:rsidRPr="00512F62">
        <w:rPr>
          <w:rFonts w:eastAsia="Times New Roman" w:cs="Times New Roman"/>
          <w:szCs w:val="24"/>
        </w:rPr>
        <w:t xml:space="preserve">nuostatomis, praplėstas subjektų, galinčių organizuoti kvalifikacijos kėlimo seminarus ir mokymus </w:t>
      </w:r>
      <w:r w:rsidR="00F11DF6" w:rsidRPr="00512F62">
        <w:rPr>
          <w:rFonts w:eastAsia="Times New Roman" w:cs="Times New Roman"/>
          <w:szCs w:val="24"/>
        </w:rPr>
        <w:t>vertintojams</w:t>
      </w:r>
      <w:r w:rsidR="00D143BA" w:rsidRPr="00512F62">
        <w:rPr>
          <w:rFonts w:eastAsia="Times New Roman" w:cs="Times New Roman"/>
          <w:szCs w:val="24"/>
        </w:rPr>
        <w:t>, sąrašas</w:t>
      </w:r>
      <w:r w:rsidR="00F11DF6" w:rsidRPr="00512F62">
        <w:rPr>
          <w:rFonts w:eastAsia="Times New Roman" w:cs="Times New Roman"/>
          <w:szCs w:val="24"/>
        </w:rPr>
        <w:t>. Tačiau atkreiptinas dėmesys, kad nei ankstesnės, nei aktualios redakcijos</w:t>
      </w:r>
      <w:r w:rsidR="00123066" w:rsidRPr="00512F62">
        <w:rPr>
          <w:rFonts w:eastAsia="Times New Roman" w:cs="Times New Roman"/>
          <w:szCs w:val="24"/>
        </w:rPr>
        <w:t xml:space="preserve"> apraše, nei</w:t>
      </w:r>
      <w:r w:rsidR="00F11DF6" w:rsidRPr="00512F62">
        <w:rPr>
          <w:rFonts w:eastAsia="Times New Roman" w:cs="Times New Roman"/>
          <w:szCs w:val="24"/>
        </w:rPr>
        <w:t xml:space="preserve"> </w:t>
      </w:r>
      <w:r w:rsidR="003A1B0F" w:rsidRPr="00512F62">
        <w:rPr>
          <w:rFonts w:eastAsia="Times New Roman" w:cs="Times New Roman"/>
          <w:szCs w:val="24"/>
        </w:rPr>
        <w:t xml:space="preserve">jokiame </w:t>
      </w:r>
      <w:r w:rsidR="00123066" w:rsidRPr="00512F62">
        <w:rPr>
          <w:rFonts w:eastAsia="Times New Roman" w:cs="Times New Roman"/>
          <w:szCs w:val="24"/>
        </w:rPr>
        <w:t xml:space="preserve">kitame </w:t>
      </w:r>
      <w:r w:rsidR="003A1B0F" w:rsidRPr="00512F62">
        <w:rPr>
          <w:rFonts w:eastAsia="Times New Roman" w:cs="Times New Roman"/>
          <w:szCs w:val="24"/>
        </w:rPr>
        <w:t xml:space="preserve">vertintame teisės akte nėra detalizuoti reikalavimai vertintojams skirtų mokymų </w:t>
      </w:r>
      <w:r w:rsidR="009A4FF7" w:rsidRPr="00512F62">
        <w:rPr>
          <w:rFonts w:eastAsia="Times New Roman" w:cs="Times New Roman"/>
          <w:szCs w:val="24"/>
        </w:rPr>
        <w:t>organizatoriams,</w:t>
      </w:r>
      <w:r w:rsidR="003A1B0F" w:rsidRPr="00512F62">
        <w:rPr>
          <w:rFonts w:eastAsia="Times New Roman" w:cs="Times New Roman"/>
          <w:szCs w:val="24"/>
        </w:rPr>
        <w:t xml:space="preserve"> dėstytojų kompetencijai bei kvalifikacijai</w:t>
      </w:r>
      <w:r w:rsidR="00A13478" w:rsidRPr="00512F62">
        <w:rPr>
          <w:rFonts w:eastAsia="Times New Roman" w:cs="Times New Roman"/>
          <w:szCs w:val="24"/>
        </w:rPr>
        <w:t>, mokymo programoms (</w:t>
      </w:r>
      <w:r w:rsidR="00A124B6" w:rsidRPr="00512F62">
        <w:rPr>
          <w:rFonts w:eastAsia="Times New Roman" w:cs="Times New Roman"/>
          <w:szCs w:val="24"/>
        </w:rPr>
        <w:t>programų</w:t>
      </w:r>
      <w:r w:rsidR="00A13478" w:rsidRPr="00512F62">
        <w:rPr>
          <w:rFonts w:eastAsia="Times New Roman" w:cs="Times New Roman"/>
          <w:szCs w:val="24"/>
        </w:rPr>
        <w:t xml:space="preserve"> poreikis, rengimo, derinimo tvarka ir pan.), kt. </w:t>
      </w:r>
    </w:p>
    <w:p w14:paraId="41ADE9D1" w14:textId="77777777" w:rsidR="003A1B0F" w:rsidRPr="00512F62" w:rsidRDefault="00BF05C0" w:rsidP="009A4FF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Be to, </w:t>
      </w:r>
      <w:r w:rsidR="003A1B0F" w:rsidRPr="00512F62">
        <w:rPr>
          <w:rFonts w:eastAsia="Times New Roman" w:cs="Times New Roman"/>
          <w:szCs w:val="24"/>
        </w:rPr>
        <w:t>Priežiūros įstaigos interneto svetainėje nėra pateikiamas visų turto ar verslo vertintojų asociacijų sąrašas</w:t>
      </w:r>
      <w:r w:rsidR="009A4FF7" w:rsidRPr="00512F62">
        <w:rPr>
          <w:rFonts w:eastAsia="Times New Roman" w:cs="Times New Roman"/>
          <w:szCs w:val="24"/>
        </w:rPr>
        <w:t>, be kita ko, galinčių organizuoti kvalifikacijos kėlimo kursus, kurių visi – mokami</w:t>
      </w:r>
      <w:r w:rsidR="00C91A81" w:rsidRPr="00512F62">
        <w:rPr>
          <w:rStyle w:val="FootnoteReference"/>
          <w:rFonts w:eastAsia="Times New Roman"/>
          <w:szCs w:val="24"/>
        </w:rPr>
        <w:footnoteReference w:id="5"/>
      </w:r>
      <w:r w:rsidR="009A4FF7" w:rsidRPr="00512F62">
        <w:rPr>
          <w:rFonts w:eastAsia="Times New Roman" w:cs="Times New Roman"/>
          <w:szCs w:val="24"/>
        </w:rPr>
        <w:t xml:space="preserve">. Priežiūros įstaigos </w:t>
      </w:r>
      <w:r w:rsidR="00BB1BE8" w:rsidRPr="00512F62">
        <w:rPr>
          <w:rFonts w:eastAsia="Times New Roman" w:cs="Times New Roman"/>
          <w:szCs w:val="24"/>
        </w:rPr>
        <w:t>tinklalapyje</w:t>
      </w:r>
      <w:r w:rsidR="009A4FF7" w:rsidRPr="00512F62">
        <w:rPr>
          <w:rFonts w:eastAsia="Times New Roman" w:cs="Times New Roman"/>
          <w:szCs w:val="24"/>
        </w:rPr>
        <w:t xml:space="preserve"> </w:t>
      </w:r>
      <w:r w:rsidR="003A1B0F" w:rsidRPr="00512F62">
        <w:rPr>
          <w:rFonts w:eastAsia="Times New Roman" w:cs="Times New Roman"/>
          <w:szCs w:val="24"/>
        </w:rPr>
        <w:t>pateiktos nuorodos tik į dv</w:t>
      </w:r>
      <w:r w:rsidR="00996538" w:rsidRPr="00512F62">
        <w:rPr>
          <w:rFonts w:eastAsia="Times New Roman" w:cs="Times New Roman"/>
          <w:szCs w:val="24"/>
        </w:rPr>
        <w:t>i</w:t>
      </w:r>
      <w:r w:rsidR="00BB1BE8" w:rsidRPr="00512F62">
        <w:rPr>
          <w:rFonts w:eastAsia="Times New Roman" w:cs="Times New Roman"/>
          <w:szCs w:val="24"/>
        </w:rPr>
        <w:t>ejų</w:t>
      </w:r>
      <w:r w:rsidR="00996538" w:rsidRPr="00512F62">
        <w:rPr>
          <w:rFonts w:eastAsia="Times New Roman" w:cs="Times New Roman"/>
          <w:szCs w:val="24"/>
        </w:rPr>
        <w:t xml:space="preserve"> </w:t>
      </w:r>
      <w:r w:rsidR="00BB1BE8" w:rsidRPr="00512F62">
        <w:rPr>
          <w:rFonts w:eastAsia="Times New Roman" w:cs="Times New Roman"/>
          <w:szCs w:val="24"/>
        </w:rPr>
        <w:t xml:space="preserve">vertintojus jungiančių asociacijų interneto svetaines, </w:t>
      </w:r>
      <w:r w:rsidR="003A1B0F" w:rsidRPr="00512F62">
        <w:rPr>
          <w:rFonts w:eastAsia="Times New Roman" w:cs="Times New Roman"/>
          <w:szCs w:val="24"/>
        </w:rPr>
        <w:t>taip pat nuorodos į dvi tarptautines vertintojų organizacijas</w:t>
      </w:r>
      <w:r w:rsidR="00BB1BE8" w:rsidRPr="00512F62">
        <w:rPr>
          <w:rStyle w:val="FootnoteReference"/>
          <w:rFonts w:eastAsia="Times New Roman"/>
          <w:szCs w:val="24"/>
        </w:rPr>
        <w:footnoteReference w:id="6"/>
      </w:r>
      <w:r w:rsidR="003A1B0F" w:rsidRPr="00512F62">
        <w:rPr>
          <w:rFonts w:eastAsia="Times New Roman" w:cs="Times New Roman"/>
          <w:szCs w:val="24"/>
        </w:rPr>
        <w:t xml:space="preserve">. </w:t>
      </w:r>
      <w:r w:rsidR="00C85741" w:rsidRPr="00512F62">
        <w:rPr>
          <w:rFonts w:eastAsia="Times New Roman" w:cs="Times New Roman"/>
          <w:szCs w:val="24"/>
        </w:rPr>
        <w:t>Todėl nėra aišku, ar visos turto ar verslo vertintojus jungiančios asociacijos turi teisę ir galimybes organizuoti mokymus vertintojams</w:t>
      </w:r>
      <w:r w:rsidR="00043F37" w:rsidRPr="00512F62">
        <w:rPr>
          <w:rFonts w:eastAsia="Times New Roman" w:cs="Times New Roman"/>
          <w:szCs w:val="24"/>
        </w:rPr>
        <w:t>, ar yra kontroliuojama kursų kokybė ir pan.</w:t>
      </w:r>
      <w:r w:rsidR="00C85741" w:rsidRPr="00512F62">
        <w:rPr>
          <w:rFonts w:eastAsia="Times New Roman" w:cs="Times New Roman"/>
          <w:szCs w:val="24"/>
        </w:rPr>
        <w:t xml:space="preserve"> Priežiūros tarnybos interneto tinklalapyje </w:t>
      </w:r>
      <w:r w:rsidR="007B6894" w:rsidRPr="00512F62">
        <w:rPr>
          <w:rFonts w:eastAsia="Times New Roman" w:cs="Times New Roman"/>
          <w:szCs w:val="24"/>
        </w:rPr>
        <w:t xml:space="preserve">taip pat nėra </w:t>
      </w:r>
      <w:r w:rsidR="00C85741" w:rsidRPr="00512F62">
        <w:rPr>
          <w:rFonts w:eastAsia="Times New Roman" w:cs="Times New Roman"/>
          <w:szCs w:val="24"/>
        </w:rPr>
        <w:t>skelbiama</w:t>
      </w:r>
      <w:r w:rsidR="007B6894" w:rsidRPr="00512F62">
        <w:rPr>
          <w:rFonts w:eastAsia="Times New Roman" w:cs="Times New Roman"/>
          <w:szCs w:val="24"/>
        </w:rPr>
        <w:t xml:space="preserve"> tokių duomenų. </w:t>
      </w:r>
      <w:r w:rsidR="00C85741" w:rsidRPr="00512F62">
        <w:rPr>
          <w:rFonts w:eastAsia="Times New Roman" w:cs="Times New Roman"/>
          <w:szCs w:val="24"/>
        </w:rPr>
        <w:t xml:space="preserve"> </w:t>
      </w:r>
    </w:p>
    <w:p w14:paraId="47EFD0C4" w14:textId="77777777" w:rsidR="00BB1BE8" w:rsidRPr="00512F62" w:rsidRDefault="007F4778" w:rsidP="003A1B0F">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Pažymėtina, kad, m</w:t>
      </w:r>
      <w:r w:rsidR="00BB1BE8" w:rsidRPr="00512F62">
        <w:rPr>
          <w:rFonts w:eastAsia="Times New Roman" w:cs="Times New Roman"/>
          <w:szCs w:val="24"/>
        </w:rPr>
        <w:t>ūsų nuomon</w:t>
      </w:r>
      <w:r w:rsidRPr="00512F62">
        <w:rPr>
          <w:rFonts w:eastAsia="Times New Roman" w:cs="Times New Roman"/>
          <w:szCs w:val="24"/>
        </w:rPr>
        <w:t>e</w:t>
      </w:r>
      <w:r w:rsidR="00BB1BE8" w:rsidRPr="00512F62">
        <w:rPr>
          <w:rFonts w:eastAsia="Times New Roman" w:cs="Times New Roman"/>
          <w:szCs w:val="24"/>
        </w:rPr>
        <w:t>, s</w:t>
      </w:r>
      <w:r w:rsidR="003A1B0F" w:rsidRPr="00512F62">
        <w:rPr>
          <w:rFonts w:eastAsia="Times New Roman" w:cs="Times New Roman"/>
          <w:szCs w:val="24"/>
        </w:rPr>
        <w:t>ituacija, kai Priežiūros institucija ir organizuoja vertintojų mokymus</w:t>
      </w:r>
      <w:r w:rsidR="00BB1BE8" w:rsidRPr="00512F62">
        <w:rPr>
          <w:rStyle w:val="FootnoteReference"/>
          <w:rFonts w:eastAsia="Times New Roman"/>
          <w:szCs w:val="24"/>
        </w:rPr>
        <w:footnoteReference w:id="7"/>
      </w:r>
      <w:r w:rsidR="003A1B0F" w:rsidRPr="00512F62">
        <w:rPr>
          <w:rFonts w:eastAsia="Times New Roman" w:cs="Times New Roman"/>
          <w:szCs w:val="24"/>
        </w:rPr>
        <w:t>, ir kontroliuoja, kaip vertintojai kelia kvalifikaciją</w:t>
      </w:r>
      <w:r w:rsidR="00BB1BE8" w:rsidRPr="00512F62">
        <w:rPr>
          <w:rFonts w:eastAsia="Times New Roman" w:cs="Times New Roman"/>
          <w:szCs w:val="24"/>
        </w:rPr>
        <w:t xml:space="preserve"> vertindama jų pateikiamas ataskaitas</w:t>
      </w:r>
      <w:r w:rsidR="003A1B0F" w:rsidRPr="00512F62">
        <w:rPr>
          <w:rFonts w:eastAsia="Times New Roman" w:cs="Times New Roman"/>
          <w:szCs w:val="24"/>
        </w:rPr>
        <w:t xml:space="preserve">, </w:t>
      </w:r>
      <w:r w:rsidR="00B719BC" w:rsidRPr="00512F62">
        <w:rPr>
          <w:rFonts w:eastAsia="Times New Roman" w:cs="Times New Roman"/>
          <w:szCs w:val="24"/>
        </w:rPr>
        <w:t>laikytina</w:t>
      </w:r>
      <w:r w:rsidR="003A1B0F" w:rsidRPr="00512F62">
        <w:rPr>
          <w:rFonts w:eastAsia="Times New Roman" w:cs="Times New Roman"/>
          <w:szCs w:val="24"/>
        </w:rPr>
        <w:t xml:space="preserve"> ydinga antikorupciniu požiūriu</w:t>
      </w:r>
      <w:r w:rsidR="00BB1BE8" w:rsidRPr="00512F62">
        <w:rPr>
          <w:rFonts w:eastAsia="Times New Roman" w:cs="Times New Roman"/>
          <w:szCs w:val="24"/>
        </w:rPr>
        <w:t>.</w:t>
      </w:r>
    </w:p>
    <w:p w14:paraId="5628C0E0" w14:textId="77777777" w:rsidR="003A1B0F" w:rsidRPr="00512F62" w:rsidRDefault="003A1B0F" w:rsidP="003A1B0F">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Atsižvelgiant į tai, kas išdėstyta, siūlytina svarstyti galimybę:</w:t>
      </w:r>
    </w:p>
    <w:p w14:paraId="747C2AC3" w14:textId="77777777" w:rsidR="003A1B0F" w:rsidRPr="00512F62" w:rsidRDefault="003A1B0F" w:rsidP="003A1B0F">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lastRenderedPageBreak/>
        <w:t xml:space="preserve">- atriboti Priežiūros įstaigai suteiktus įgaliojimus mokymų organizavimo ir </w:t>
      </w:r>
      <w:r w:rsidR="00FE2C8C" w:rsidRPr="00512F62">
        <w:rPr>
          <w:rFonts w:eastAsia="Times New Roman" w:cs="Times New Roman"/>
          <w:szCs w:val="24"/>
        </w:rPr>
        <w:t>vertintojų kvalifikacijos kėlimo kontrolės srityse</w:t>
      </w:r>
      <w:r w:rsidRPr="00512F62">
        <w:rPr>
          <w:rFonts w:eastAsia="Times New Roman" w:cs="Times New Roman"/>
          <w:szCs w:val="24"/>
        </w:rPr>
        <w:t>;</w:t>
      </w:r>
    </w:p>
    <w:p w14:paraId="5A816F6D" w14:textId="77777777" w:rsidR="007D3B85" w:rsidRPr="00512F62" w:rsidRDefault="003A1B0F" w:rsidP="007D3B85">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detalizuoti mokymų organizatoriams taikomus reikalavimus, sudarant nediskriminuojančias sąlygas visiems mokym</w:t>
      </w:r>
      <w:r w:rsidR="00FE2C8C" w:rsidRPr="00512F62">
        <w:rPr>
          <w:rFonts w:eastAsia="Times New Roman" w:cs="Times New Roman"/>
          <w:szCs w:val="24"/>
        </w:rPr>
        <w:t>ų</w:t>
      </w:r>
      <w:r w:rsidRPr="00512F62">
        <w:rPr>
          <w:rFonts w:eastAsia="Times New Roman" w:cs="Times New Roman"/>
          <w:szCs w:val="24"/>
        </w:rPr>
        <w:t xml:space="preserve"> organizavimo rinkos dalyviams.    </w:t>
      </w:r>
    </w:p>
    <w:p w14:paraId="329C9AB7" w14:textId="78E70768" w:rsidR="00DA0B7A" w:rsidRPr="00512F62" w:rsidRDefault="0064241F" w:rsidP="007D3B85">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2</w:t>
      </w:r>
      <w:r w:rsidR="00CE1B70" w:rsidRPr="00512F62">
        <w:rPr>
          <w:rFonts w:eastAsia="Times New Roman" w:cs="Times New Roman"/>
          <w:szCs w:val="24"/>
        </w:rPr>
        <w:t>.</w:t>
      </w:r>
      <w:r w:rsidR="00AD2C4B" w:rsidRPr="00512F62">
        <w:rPr>
          <w:rFonts w:eastAsia="Times New Roman" w:cs="Times New Roman"/>
          <w:szCs w:val="24"/>
        </w:rPr>
        <w:t>4</w:t>
      </w:r>
      <w:r w:rsidR="00CE1B70" w:rsidRPr="00512F62">
        <w:rPr>
          <w:rFonts w:eastAsia="Times New Roman" w:cs="Times New Roman"/>
          <w:szCs w:val="24"/>
        </w:rPr>
        <w:t xml:space="preserve">. </w:t>
      </w:r>
      <w:r w:rsidR="0073250B" w:rsidRPr="00512F62">
        <w:rPr>
          <w:rFonts w:eastAsia="Times New Roman" w:cs="Times New Roman"/>
          <w:szCs w:val="24"/>
        </w:rPr>
        <w:t>Įstatymo 10 straipsnio 5 dal</w:t>
      </w:r>
      <w:r w:rsidR="00294A5E" w:rsidRPr="00512F62">
        <w:rPr>
          <w:rFonts w:eastAsia="Times New Roman" w:cs="Times New Roman"/>
          <w:szCs w:val="24"/>
        </w:rPr>
        <w:t>yje</w:t>
      </w:r>
      <w:r w:rsidR="0073250B" w:rsidRPr="00512F62">
        <w:rPr>
          <w:rFonts w:eastAsia="Times New Roman" w:cs="Times New Roman"/>
          <w:szCs w:val="24"/>
        </w:rPr>
        <w:t xml:space="preserve"> nustatyta, kad </w:t>
      </w:r>
      <w:r w:rsidR="0073250B" w:rsidRPr="00512F62">
        <w:rPr>
          <w:rFonts w:cs="Times New Roman"/>
          <w:i/>
          <w:iCs/>
          <w:szCs w:val="24"/>
        </w:rPr>
        <w:t>turto arba verslo vertintojo kvalifikacijos pažymėjimo galiojimo sustabdymas panaikinamas, jeigu ne vėliau kaip per šešis mėnesius pašalinamos priežastys</w:t>
      </w:r>
      <w:r w:rsidR="0073250B" w:rsidRPr="00512F62">
        <w:rPr>
          <w:rFonts w:cs="Times New Roman"/>
          <w:i/>
          <w:iCs/>
          <w:color w:val="000000"/>
          <w:szCs w:val="24"/>
        </w:rPr>
        <w:t>, dėl kurių turto arba verslo vertintojo kvalifikacijos pažymėjimo galiojimas buvo sustabdytas, išskyrus turto arba verslo vertintojo kvalifikacijos pažymėjimo galiojimo sustabdymo panaikinimą dėl šio straipsnio 3 dalies 1, 5 ir 6 punktuose nurodytų priežasčių</w:t>
      </w:r>
      <w:r w:rsidR="0073250B" w:rsidRPr="00512F62">
        <w:rPr>
          <w:rStyle w:val="FootnoteReference"/>
          <w:color w:val="000000"/>
          <w:szCs w:val="24"/>
        </w:rPr>
        <w:footnoteReference w:id="8"/>
      </w:r>
      <w:r w:rsidR="0073250B" w:rsidRPr="00512F62">
        <w:rPr>
          <w:rFonts w:cs="Times New Roman"/>
          <w:color w:val="000000"/>
          <w:szCs w:val="24"/>
        </w:rPr>
        <w:t xml:space="preserve">. </w:t>
      </w:r>
    </w:p>
    <w:p w14:paraId="3CE82A75" w14:textId="77777777" w:rsidR="00310E2D" w:rsidRPr="00512F62" w:rsidRDefault="00ED36FB" w:rsidP="00310E2D">
      <w:pPr>
        <w:tabs>
          <w:tab w:val="left" w:pos="851"/>
        </w:tabs>
        <w:spacing w:line="360" w:lineRule="auto"/>
        <w:ind w:firstLine="851"/>
        <w:contextualSpacing/>
        <w:jc w:val="both"/>
        <w:rPr>
          <w:rFonts w:cs="Times New Roman"/>
          <w:szCs w:val="24"/>
        </w:rPr>
      </w:pPr>
      <w:r w:rsidRPr="00512F62">
        <w:rPr>
          <w:rFonts w:cs="Times New Roman"/>
          <w:color w:val="000000"/>
          <w:szCs w:val="24"/>
        </w:rPr>
        <w:t xml:space="preserve">Turto arba verslo vertintojo kvalifikacijos pažymėjimo galiojimo sustabdymas panaikina turto arba verslo vertintojo teisę atlikti turto arba verslo vertinimą, </w:t>
      </w:r>
      <w:r w:rsidR="00CF0537" w:rsidRPr="00512F62">
        <w:rPr>
          <w:rFonts w:cs="Times New Roman"/>
          <w:color w:val="000000"/>
          <w:szCs w:val="24"/>
        </w:rPr>
        <w:t>todėl šio sprendimo priėmimas turi būti išsamiai ir skaidriai reglamentuotas. T</w:t>
      </w:r>
      <w:r w:rsidRPr="00512F62">
        <w:rPr>
          <w:rFonts w:cs="Times New Roman"/>
          <w:color w:val="000000"/>
          <w:szCs w:val="24"/>
        </w:rPr>
        <w:t>ačiau n</w:t>
      </w:r>
      <w:r w:rsidR="00017205" w:rsidRPr="00512F62">
        <w:rPr>
          <w:rFonts w:cs="Times New Roman"/>
          <w:color w:val="000000"/>
          <w:szCs w:val="24"/>
        </w:rPr>
        <w:t xml:space="preserve">ei Įstatyme, nei </w:t>
      </w:r>
      <w:r w:rsidR="00017205" w:rsidRPr="00512F62">
        <w:rPr>
          <w:rFonts w:cs="Times New Roman"/>
          <w:szCs w:val="24"/>
        </w:rPr>
        <w:t xml:space="preserve">Kvalifikacijos pažymėjimo išdavimo ir galiojimo taisyklėse nėra detalizuota, </w:t>
      </w:r>
      <w:r w:rsidR="005B21F1" w:rsidRPr="00512F62">
        <w:rPr>
          <w:rFonts w:cs="Times New Roman"/>
          <w:szCs w:val="24"/>
        </w:rPr>
        <w:t xml:space="preserve">kuriam laikui gali būti stabdomas kvalifikacijos pažymėjimo galiojimas už </w:t>
      </w:r>
      <w:r w:rsidR="00627DAF" w:rsidRPr="00512F62">
        <w:rPr>
          <w:rFonts w:cs="Times New Roman"/>
          <w:szCs w:val="24"/>
        </w:rPr>
        <w:t>nustatytus</w:t>
      </w:r>
      <w:r w:rsidR="005B21F1" w:rsidRPr="00512F62">
        <w:rPr>
          <w:rFonts w:cs="Times New Roman"/>
          <w:szCs w:val="24"/>
        </w:rPr>
        <w:t xml:space="preserve"> </w:t>
      </w:r>
      <w:r w:rsidR="005B21F1" w:rsidRPr="00512F62">
        <w:rPr>
          <w:rFonts w:cs="Times New Roman"/>
          <w:szCs w:val="24"/>
        </w:rPr>
        <w:lastRenderedPageBreak/>
        <w:t>pažeidimus</w:t>
      </w:r>
      <w:r w:rsidR="00106192" w:rsidRPr="00512F62">
        <w:rPr>
          <w:rFonts w:cs="Times New Roman"/>
          <w:szCs w:val="24"/>
        </w:rPr>
        <w:t xml:space="preserve"> – ar visais atvejais visiems vertintojams </w:t>
      </w:r>
      <w:r w:rsidR="00F7391A" w:rsidRPr="00512F62">
        <w:rPr>
          <w:rFonts w:cs="Times New Roman"/>
          <w:szCs w:val="24"/>
        </w:rPr>
        <w:t xml:space="preserve">už visus nustatytus pažeidimus </w:t>
      </w:r>
      <w:r w:rsidR="00106192" w:rsidRPr="00512F62">
        <w:rPr>
          <w:rFonts w:cs="Times New Roman"/>
          <w:szCs w:val="24"/>
        </w:rPr>
        <w:t xml:space="preserve">nustatomas </w:t>
      </w:r>
      <w:r w:rsidR="00F7391A" w:rsidRPr="00512F62">
        <w:rPr>
          <w:rFonts w:cs="Times New Roman"/>
          <w:szCs w:val="24"/>
        </w:rPr>
        <w:t xml:space="preserve">vienodas maksimalus </w:t>
      </w:r>
      <w:r w:rsidR="00106192" w:rsidRPr="00512F62">
        <w:rPr>
          <w:rFonts w:cs="Times New Roman"/>
          <w:szCs w:val="24"/>
        </w:rPr>
        <w:t>6 mėnesių terminas trūkumams pašalinti, ar kiekvienu atveju skiriami skirtingi terminai</w:t>
      </w:r>
      <w:r w:rsidR="005B21F1" w:rsidRPr="00512F62">
        <w:rPr>
          <w:rFonts w:cs="Times New Roman"/>
          <w:szCs w:val="24"/>
        </w:rPr>
        <w:t xml:space="preserve">, </w:t>
      </w:r>
      <w:r w:rsidR="00DA2356" w:rsidRPr="00512F62">
        <w:rPr>
          <w:rFonts w:cs="Times New Roman"/>
          <w:szCs w:val="24"/>
        </w:rPr>
        <w:t xml:space="preserve">taip pat </w:t>
      </w:r>
      <w:r w:rsidR="00017205" w:rsidRPr="00512F62">
        <w:rPr>
          <w:rFonts w:cs="Times New Roman"/>
          <w:szCs w:val="24"/>
        </w:rPr>
        <w:t>per kiek laiko</w:t>
      </w:r>
      <w:r w:rsidR="00D5420B" w:rsidRPr="00512F62">
        <w:rPr>
          <w:rFonts w:cs="Times New Roman"/>
          <w:szCs w:val="24"/>
        </w:rPr>
        <w:t>,</w:t>
      </w:r>
      <w:r w:rsidR="00017205" w:rsidRPr="00512F62">
        <w:rPr>
          <w:rFonts w:cs="Times New Roman"/>
          <w:szCs w:val="24"/>
        </w:rPr>
        <w:t xml:space="preserve"> pateikus </w:t>
      </w:r>
      <w:r w:rsidR="005B21F1" w:rsidRPr="00512F62">
        <w:rPr>
          <w:rFonts w:cs="Times New Roman"/>
          <w:szCs w:val="24"/>
        </w:rPr>
        <w:t>įrodanči</w:t>
      </w:r>
      <w:r w:rsidR="00D5420B" w:rsidRPr="00512F62">
        <w:rPr>
          <w:rFonts w:cs="Times New Roman"/>
          <w:szCs w:val="24"/>
        </w:rPr>
        <w:t>us</w:t>
      </w:r>
      <w:r w:rsidR="005B21F1" w:rsidRPr="00512F62">
        <w:rPr>
          <w:rFonts w:cs="Times New Roman"/>
          <w:szCs w:val="24"/>
        </w:rPr>
        <w:t xml:space="preserve"> dokument</w:t>
      </w:r>
      <w:r w:rsidR="00D5420B" w:rsidRPr="00512F62">
        <w:rPr>
          <w:rFonts w:cs="Times New Roman"/>
          <w:szCs w:val="24"/>
        </w:rPr>
        <w:t>us</w:t>
      </w:r>
      <w:r w:rsidR="005B21F1" w:rsidRPr="00512F62">
        <w:rPr>
          <w:rFonts w:cs="Times New Roman"/>
          <w:szCs w:val="24"/>
        </w:rPr>
        <w:t xml:space="preserve"> apie pašalintus pažeidimus</w:t>
      </w:r>
      <w:r w:rsidR="00D5420B" w:rsidRPr="00512F62">
        <w:rPr>
          <w:rFonts w:cs="Times New Roman"/>
          <w:szCs w:val="24"/>
        </w:rPr>
        <w:t>,</w:t>
      </w:r>
      <w:r w:rsidR="005B21F1" w:rsidRPr="00512F62">
        <w:rPr>
          <w:rFonts w:cs="Times New Roman"/>
          <w:szCs w:val="24"/>
        </w:rPr>
        <w:t xml:space="preserve"> Priežiūros tarnyba </w:t>
      </w:r>
      <w:r w:rsidR="00DC0AF4" w:rsidRPr="00512F62">
        <w:rPr>
          <w:rFonts w:cs="Times New Roman"/>
          <w:szCs w:val="24"/>
        </w:rPr>
        <w:t>privalo</w:t>
      </w:r>
      <w:r w:rsidR="005B21F1" w:rsidRPr="00512F62">
        <w:rPr>
          <w:rFonts w:cs="Times New Roman"/>
          <w:szCs w:val="24"/>
        </w:rPr>
        <w:t xml:space="preserve"> panaikinti kvalifikacijos pažymėjimo galiojimo sustabdymą</w:t>
      </w:r>
      <w:r w:rsidR="00DA2356" w:rsidRPr="00512F62">
        <w:rPr>
          <w:rFonts w:cs="Times New Roman"/>
          <w:szCs w:val="24"/>
        </w:rPr>
        <w:t xml:space="preserve">, kokia tvarka ir kieno priimami atitinkami sprendimai. </w:t>
      </w:r>
    </w:p>
    <w:p w14:paraId="31B1AB63" w14:textId="77777777" w:rsidR="00DA2356" w:rsidRPr="00512F62" w:rsidRDefault="00DA2356" w:rsidP="0073250B">
      <w:pPr>
        <w:tabs>
          <w:tab w:val="left" w:pos="851"/>
        </w:tabs>
        <w:spacing w:line="360" w:lineRule="auto"/>
        <w:ind w:firstLine="851"/>
        <w:contextualSpacing/>
        <w:jc w:val="both"/>
        <w:rPr>
          <w:rFonts w:cs="Times New Roman"/>
          <w:szCs w:val="24"/>
        </w:rPr>
      </w:pPr>
      <w:r w:rsidRPr="00512F62">
        <w:rPr>
          <w:rFonts w:cs="Times New Roman"/>
          <w:szCs w:val="24"/>
        </w:rPr>
        <w:t xml:space="preserve">Atsižvelgdami į tai, siūlome atitinkamai patikslinti Kvalifikacijos pažymėjimo išdavimo ir galiojimo taisykles, </w:t>
      </w:r>
      <w:r w:rsidR="000A50E5" w:rsidRPr="00512F62">
        <w:rPr>
          <w:rFonts w:cs="Times New Roman"/>
          <w:szCs w:val="24"/>
        </w:rPr>
        <w:t>detalizuojant</w:t>
      </w:r>
      <w:r w:rsidRPr="00512F62">
        <w:rPr>
          <w:rFonts w:cs="Times New Roman"/>
          <w:szCs w:val="24"/>
        </w:rPr>
        <w:t xml:space="preserve"> aukščiau minėtus aspektus. </w:t>
      </w:r>
    </w:p>
    <w:p w14:paraId="0808C97D" w14:textId="77777777" w:rsidR="00310E2D" w:rsidRPr="00512F62" w:rsidRDefault="00310E2D" w:rsidP="0073250B">
      <w:pPr>
        <w:tabs>
          <w:tab w:val="left" w:pos="851"/>
        </w:tabs>
        <w:spacing w:line="360" w:lineRule="auto"/>
        <w:ind w:firstLine="851"/>
        <w:contextualSpacing/>
        <w:jc w:val="both"/>
        <w:rPr>
          <w:rFonts w:cs="Times New Roman"/>
          <w:szCs w:val="24"/>
        </w:rPr>
      </w:pPr>
      <w:r w:rsidRPr="00512F62">
        <w:rPr>
          <w:rFonts w:cs="Times New Roman"/>
          <w:szCs w:val="24"/>
        </w:rPr>
        <w:t xml:space="preserve">Pastaba dėl terminų </w:t>
      </w:r>
      <w:r w:rsidR="002D6D0E" w:rsidRPr="00512F62">
        <w:rPr>
          <w:rFonts w:cs="Times New Roman"/>
          <w:szCs w:val="24"/>
        </w:rPr>
        <w:t xml:space="preserve">nustatymo </w:t>
      </w:r>
      <w:r w:rsidRPr="00512F62">
        <w:rPr>
          <w:rFonts w:cs="Times New Roman"/>
          <w:szCs w:val="24"/>
        </w:rPr>
        <w:t xml:space="preserve">taikytina ir Kvalifikacijos pažymėjimo išdavimo ir galiojimo taisyklių 15 punktui, kuriame numatyta, kad Priežiūros įstaiga, nustačiusi, kad vertintojo pateikta ataskaita neatitinka Įstatymo reikalavimų &lt;...&gt;, ne vėliau kaip per 5 darbo dienas nuo ataskaitos gavimo apie tai informuoja vertintoją raštu &lt;...&gt; ir </w:t>
      </w:r>
      <w:r w:rsidRPr="00512F62">
        <w:rPr>
          <w:rFonts w:cs="Times New Roman"/>
          <w:i/>
          <w:iCs/>
          <w:szCs w:val="24"/>
        </w:rPr>
        <w:t xml:space="preserve">nurodo trūkumus, kuriuos reikia pašalinti, </w:t>
      </w:r>
      <w:r w:rsidRPr="00512F62">
        <w:rPr>
          <w:rFonts w:cs="Times New Roman"/>
          <w:szCs w:val="24"/>
        </w:rPr>
        <w:t>tačiau nedetalizuojam</w:t>
      </w:r>
      <w:r w:rsidR="00CF0441" w:rsidRPr="00512F62">
        <w:rPr>
          <w:rFonts w:cs="Times New Roman"/>
          <w:szCs w:val="24"/>
        </w:rPr>
        <w:t>i</w:t>
      </w:r>
      <w:r w:rsidRPr="00512F62">
        <w:rPr>
          <w:rFonts w:cs="Times New Roman"/>
          <w:szCs w:val="24"/>
        </w:rPr>
        <w:t xml:space="preserve"> terminai, per kuriuos turėtų būti pašalinti </w:t>
      </w:r>
      <w:r w:rsidR="00CF0441" w:rsidRPr="00512F62">
        <w:rPr>
          <w:rFonts w:cs="Times New Roman"/>
          <w:szCs w:val="24"/>
        </w:rPr>
        <w:t xml:space="preserve">kontroliuojančios institucijos </w:t>
      </w:r>
      <w:r w:rsidRPr="00512F62">
        <w:rPr>
          <w:rFonts w:cs="Times New Roman"/>
          <w:szCs w:val="24"/>
        </w:rPr>
        <w:t xml:space="preserve">įvardinti trūkumai, todėl egzistuoja rizika, kad vienodose situacijose esantiems vertintojams galimai gali būti taikomi skirtingi reikalavimai. </w:t>
      </w:r>
      <w:r w:rsidR="00273ECC" w:rsidRPr="00512F62">
        <w:rPr>
          <w:rFonts w:cs="Times New Roman"/>
          <w:szCs w:val="24"/>
        </w:rPr>
        <w:t xml:space="preserve">Tokia situacija yra ydinga antikorupciniu požiūriu. </w:t>
      </w:r>
      <w:r w:rsidRPr="00512F62">
        <w:rPr>
          <w:rFonts w:cs="Times New Roman"/>
          <w:szCs w:val="24"/>
        </w:rPr>
        <w:t xml:space="preserve">     </w:t>
      </w:r>
    </w:p>
    <w:p w14:paraId="54266FB0" w14:textId="66F20FEF" w:rsidR="00FE594A" w:rsidRPr="00512F62" w:rsidRDefault="0064241F" w:rsidP="007C4DBE">
      <w:pPr>
        <w:tabs>
          <w:tab w:val="left" w:pos="851"/>
        </w:tabs>
        <w:spacing w:line="360" w:lineRule="auto"/>
        <w:ind w:firstLine="851"/>
        <w:contextualSpacing/>
        <w:jc w:val="both"/>
        <w:rPr>
          <w:rFonts w:cs="Times New Roman"/>
          <w:szCs w:val="24"/>
        </w:rPr>
      </w:pPr>
      <w:r w:rsidRPr="00512F62">
        <w:rPr>
          <w:rFonts w:cs="Times New Roman"/>
          <w:szCs w:val="24"/>
        </w:rPr>
        <w:t>2</w:t>
      </w:r>
      <w:r w:rsidR="000A63C3" w:rsidRPr="00512F62">
        <w:rPr>
          <w:rFonts w:cs="Times New Roman"/>
          <w:szCs w:val="24"/>
        </w:rPr>
        <w:t>.</w:t>
      </w:r>
      <w:r w:rsidR="00AD2C4B" w:rsidRPr="00512F62">
        <w:rPr>
          <w:rFonts w:cs="Times New Roman"/>
          <w:szCs w:val="24"/>
        </w:rPr>
        <w:t>5</w:t>
      </w:r>
      <w:r w:rsidR="000A63C3" w:rsidRPr="00512F62">
        <w:rPr>
          <w:rFonts w:cs="Times New Roman"/>
          <w:szCs w:val="24"/>
        </w:rPr>
        <w:t>.</w:t>
      </w:r>
      <w:r w:rsidR="007C4DBE" w:rsidRPr="00512F62">
        <w:rPr>
          <w:rFonts w:cs="Times New Roman"/>
          <w:szCs w:val="24"/>
        </w:rPr>
        <w:t xml:space="preserve"> Įstatymo </w:t>
      </w:r>
      <w:r w:rsidR="00A90B98" w:rsidRPr="00512F62">
        <w:rPr>
          <w:rFonts w:cs="Times New Roman"/>
          <w:color w:val="000000"/>
          <w:szCs w:val="24"/>
        </w:rPr>
        <w:t>1</w:t>
      </w:r>
      <w:r w:rsidR="007C4DBE" w:rsidRPr="00512F62">
        <w:rPr>
          <w:rFonts w:cs="Times New Roman"/>
          <w:color w:val="000000"/>
          <w:szCs w:val="24"/>
        </w:rPr>
        <w:t xml:space="preserve">0 straipsnio 11 dalyje įtvirtinta, kad nustatytais atvejais </w:t>
      </w:r>
      <w:r w:rsidR="007C4DBE" w:rsidRPr="00512F62">
        <w:rPr>
          <w:rFonts w:cs="Times New Roman"/>
          <w:i/>
          <w:iCs/>
          <w:color w:val="000000"/>
          <w:szCs w:val="24"/>
        </w:rPr>
        <w:t>t</w:t>
      </w:r>
      <w:r w:rsidR="00A90B98" w:rsidRPr="00512F62">
        <w:rPr>
          <w:rFonts w:cs="Times New Roman"/>
          <w:i/>
          <w:iCs/>
          <w:color w:val="000000"/>
          <w:szCs w:val="24"/>
        </w:rPr>
        <w:t>urto arba verslo vertintojo kvalifikacijos pažymėjimo galiojimas laikomas sustabdytu, galiojimo sustabdymas laikomas panaikintu arba galiojimas laikomas panaikintu atitinkamai nuo sprendimų dėl turto arba verslo vertintojo kvalifikacijos pažymėjimo galiojimo sustabdymo</w:t>
      </w:r>
      <w:r w:rsidR="00A90B98" w:rsidRPr="00512F62">
        <w:rPr>
          <w:rFonts w:cs="Times New Roman"/>
          <w:i/>
          <w:iCs/>
          <w:szCs w:val="24"/>
        </w:rPr>
        <w:t>, galiojimo sustabdymo panaikinimo arba galiojimo panaikinimo paskelbimo Priežiūros įstaigos interneto tinklalapyje</w:t>
      </w:r>
      <w:r w:rsidR="00FE594A" w:rsidRPr="00512F62">
        <w:rPr>
          <w:rFonts w:cs="Times New Roman"/>
          <w:i/>
          <w:iCs/>
          <w:szCs w:val="24"/>
        </w:rPr>
        <w:t xml:space="preserve"> </w:t>
      </w:r>
      <w:r w:rsidR="00FE594A" w:rsidRPr="00512F62">
        <w:rPr>
          <w:rFonts w:cs="Times New Roman"/>
          <w:szCs w:val="24"/>
        </w:rPr>
        <w:t>&lt;...&gt;</w:t>
      </w:r>
      <w:r w:rsidR="00FE594A" w:rsidRPr="00512F62">
        <w:rPr>
          <w:rStyle w:val="FootnoteReference"/>
          <w:szCs w:val="24"/>
        </w:rPr>
        <w:footnoteReference w:id="9"/>
      </w:r>
      <w:r w:rsidR="00FE594A" w:rsidRPr="00512F62">
        <w:rPr>
          <w:rFonts w:cs="Times New Roman"/>
          <w:szCs w:val="24"/>
        </w:rPr>
        <w:t>.</w:t>
      </w:r>
    </w:p>
    <w:p w14:paraId="6197A461" w14:textId="77777777" w:rsidR="007C52DB" w:rsidRPr="00512F62" w:rsidRDefault="007C52DB" w:rsidP="007C52DB">
      <w:pPr>
        <w:tabs>
          <w:tab w:val="left" w:pos="851"/>
        </w:tabs>
        <w:spacing w:line="360" w:lineRule="auto"/>
        <w:ind w:firstLine="851"/>
        <w:contextualSpacing/>
        <w:jc w:val="both"/>
        <w:rPr>
          <w:rFonts w:cs="Times New Roman"/>
          <w:color w:val="000000"/>
          <w:szCs w:val="24"/>
        </w:rPr>
      </w:pPr>
      <w:r w:rsidRPr="00512F62">
        <w:rPr>
          <w:rFonts w:cs="Times New Roman"/>
          <w:color w:val="000000"/>
          <w:szCs w:val="24"/>
        </w:rPr>
        <w:lastRenderedPageBreak/>
        <w:t>Pažymėtina, kad Priežiūros įstaigos interneto svetainėje nėra skelbiama aukščiau minėtų duomenų – viešai prieinami tik Turto arba verslo vertintojų garbės teismo priimti sprendimai</w:t>
      </w:r>
      <w:r w:rsidRPr="00512F62">
        <w:rPr>
          <w:rStyle w:val="FootnoteReference"/>
          <w:color w:val="000000"/>
          <w:szCs w:val="24"/>
        </w:rPr>
        <w:footnoteReference w:id="10"/>
      </w:r>
      <w:r w:rsidRPr="00512F62">
        <w:rPr>
          <w:rFonts w:cs="Times New Roman"/>
          <w:color w:val="000000"/>
          <w:szCs w:val="24"/>
        </w:rPr>
        <w:t xml:space="preserve">. </w:t>
      </w:r>
    </w:p>
    <w:p w14:paraId="1189F73B" w14:textId="77777777" w:rsidR="00C10F3E" w:rsidRPr="00512F62" w:rsidRDefault="00EF341C" w:rsidP="00EF4377">
      <w:pPr>
        <w:tabs>
          <w:tab w:val="left" w:pos="851"/>
        </w:tabs>
        <w:spacing w:line="360" w:lineRule="auto"/>
        <w:ind w:firstLine="851"/>
        <w:contextualSpacing/>
        <w:jc w:val="both"/>
        <w:rPr>
          <w:rFonts w:cs="Times New Roman"/>
          <w:color w:val="000000"/>
          <w:szCs w:val="24"/>
        </w:rPr>
      </w:pPr>
      <w:r w:rsidRPr="00512F62">
        <w:rPr>
          <w:rFonts w:cs="Times New Roman"/>
          <w:szCs w:val="24"/>
        </w:rPr>
        <w:t>Mūsų nuomone, s</w:t>
      </w:r>
      <w:r w:rsidR="00120C2F" w:rsidRPr="00512F62">
        <w:rPr>
          <w:rFonts w:cs="Times New Roman"/>
          <w:szCs w:val="24"/>
        </w:rPr>
        <w:t>ituacija, kai sprendimas, ribojantis ar panaikinantis vertintojo teisę verstis tur</w:t>
      </w:r>
      <w:r w:rsidR="00F3665D" w:rsidRPr="00512F62">
        <w:rPr>
          <w:rFonts w:cs="Times New Roman"/>
          <w:szCs w:val="24"/>
        </w:rPr>
        <w:t>t</w:t>
      </w:r>
      <w:r w:rsidR="00120C2F" w:rsidRPr="00512F62">
        <w:rPr>
          <w:rFonts w:cs="Times New Roman"/>
          <w:szCs w:val="24"/>
        </w:rPr>
        <w:t xml:space="preserve">o ar verslo vertinimo veikla, įsigalioja ne jo priėmimo dieną ar jį priėmusio </w:t>
      </w:r>
      <w:r w:rsidR="00120C2F" w:rsidRPr="00512F62">
        <w:rPr>
          <w:rFonts w:cs="Times New Roman"/>
          <w:color w:val="000000"/>
          <w:szCs w:val="24"/>
        </w:rPr>
        <w:t>subjekto sprendime nustatytą dieną, bet tik tuomet, kai sprendimas paviešinamas Priežiūros įstaigos interneto svetainėje, vertinama kaip ydinga antikorupciniu požiūriu</w:t>
      </w:r>
      <w:r w:rsidR="00C10F3E" w:rsidRPr="00512F62">
        <w:rPr>
          <w:rFonts w:cs="Times New Roman"/>
          <w:color w:val="000000"/>
          <w:szCs w:val="24"/>
        </w:rPr>
        <w:t>, kadangi iš esmės neužkertama galimybė pažeidimą padariusiam vertintojui toliau verstis turto vertinimo praktika tol, kol atsakinga institucija nepaskelbs sprendimo viešai.</w:t>
      </w:r>
    </w:p>
    <w:p w14:paraId="74DE4BAD" w14:textId="77777777" w:rsidR="00FF4825" w:rsidRPr="00512F62" w:rsidRDefault="00384DD6" w:rsidP="00EF4377">
      <w:pPr>
        <w:tabs>
          <w:tab w:val="left" w:pos="851"/>
        </w:tabs>
        <w:spacing w:line="360" w:lineRule="auto"/>
        <w:ind w:firstLine="851"/>
        <w:contextualSpacing/>
        <w:jc w:val="both"/>
        <w:rPr>
          <w:rFonts w:cs="Times New Roman"/>
          <w:color w:val="000000"/>
          <w:szCs w:val="24"/>
        </w:rPr>
      </w:pPr>
      <w:r w:rsidRPr="00512F62">
        <w:rPr>
          <w:rFonts w:cs="Times New Roman"/>
          <w:color w:val="000000"/>
          <w:szCs w:val="24"/>
        </w:rPr>
        <w:t xml:space="preserve">Atsižvelgdami į tai, kas išdėstyta, siūlome </w:t>
      </w:r>
      <w:r w:rsidR="00FF4825" w:rsidRPr="00512F62">
        <w:rPr>
          <w:rFonts w:cs="Times New Roman"/>
          <w:color w:val="000000"/>
          <w:szCs w:val="24"/>
        </w:rPr>
        <w:t>svarstyti aukščiau minėtų nuostatų tobulinimo tikslingumą.</w:t>
      </w:r>
    </w:p>
    <w:p w14:paraId="0F0A235D" w14:textId="70E8A0A4" w:rsidR="0038117C" w:rsidRPr="00512F62" w:rsidRDefault="0064241F" w:rsidP="0038117C">
      <w:pPr>
        <w:tabs>
          <w:tab w:val="left" w:pos="851"/>
        </w:tabs>
        <w:spacing w:line="360" w:lineRule="auto"/>
        <w:ind w:firstLine="851"/>
        <w:contextualSpacing/>
        <w:jc w:val="both"/>
        <w:rPr>
          <w:rFonts w:cs="Times New Roman"/>
          <w:color w:val="000000"/>
          <w:szCs w:val="24"/>
        </w:rPr>
      </w:pPr>
      <w:r w:rsidRPr="00512F62">
        <w:rPr>
          <w:rFonts w:cs="Times New Roman"/>
          <w:szCs w:val="24"/>
        </w:rPr>
        <w:t>2</w:t>
      </w:r>
      <w:r w:rsidR="00422F1C" w:rsidRPr="00512F62">
        <w:rPr>
          <w:rFonts w:cs="Times New Roman"/>
          <w:szCs w:val="24"/>
        </w:rPr>
        <w:t>.</w:t>
      </w:r>
      <w:r w:rsidR="00AD2C4B" w:rsidRPr="00512F62">
        <w:rPr>
          <w:rFonts w:cs="Times New Roman"/>
          <w:szCs w:val="24"/>
        </w:rPr>
        <w:t>6</w:t>
      </w:r>
      <w:r w:rsidR="00100B7B" w:rsidRPr="00512F62">
        <w:rPr>
          <w:rFonts w:cs="Times New Roman"/>
          <w:szCs w:val="24"/>
        </w:rPr>
        <w:t>.</w:t>
      </w:r>
      <w:r w:rsidR="00422F1C" w:rsidRPr="00512F62">
        <w:rPr>
          <w:rFonts w:cs="Times New Roman"/>
          <w:szCs w:val="24"/>
        </w:rPr>
        <w:t xml:space="preserve"> </w:t>
      </w:r>
      <w:r w:rsidR="004C6DC3" w:rsidRPr="00512F62">
        <w:rPr>
          <w:rFonts w:cs="Times New Roman"/>
          <w:szCs w:val="24"/>
        </w:rPr>
        <w:t>A</w:t>
      </w:r>
      <w:r w:rsidR="00422F1C" w:rsidRPr="00512F62">
        <w:rPr>
          <w:rFonts w:cs="Times New Roman"/>
          <w:szCs w:val="24"/>
        </w:rPr>
        <w:t xml:space="preserve">nalizuotuose teisės aktuose, nustatant Priežiūros įstaigos funkcijas ir tam tikrų sprendimų priėmimą, vartojama apibendrinta sąvoka „Priežiūros įstaiga“, nedetalizuojant, kas ir kokia tvarka konkretų sprendimą priima. Pavyzdžiui, Kvalifikacijos pažymėjimo išdavimo ir galiojimo taisyklių </w:t>
      </w:r>
      <w:r w:rsidR="009D4225" w:rsidRPr="00512F62">
        <w:rPr>
          <w:rFonts w:cs="Times New Roman"/>
          <w:szCs w:val="24"/>
        </w:rPr>
        <w:t>4</w:t>
      </w:r>
      <w:r w:rsidR="00422F1C" w:rsidRPr="00512F62">
        <w:rPr>
          <w:rFonts w:cs="Times New Roman"/>
          <w:szCs w:val="24"/>
        </w:rPr>
        <w:t>, 1</w:t>
      </w:r>
      <w:r w:rsidR="00370952" w:rsidRPr="00512F62">
        <w:rPr>
          <w:rFonts w:cs="Times New Roman"/>
          <w:szCs w:val="24"/>
        </w:rPr>
        <w:t>2</w:t>
      </w:r>
      <w:r w:rsidR="00422F1C" w:rsidRPr="00512F62">
        <w:rPr>
          <w:rFonts w:cs="Times New Roman"/>
          <w:szCs w:val="24"/>
        </w:rPr>
        <w:t xml:space="preserve"> punktų, </w:t>
      </w:r>
      <w:r w:rsidR="00EE76C4" w:rsidRPr="00512F62">
        <w:rPr>
          <w:rFonts w:eastAsia="Times New Roman" w:cs="Times New Roman"/>
          <w:szCs w:val="24"/>
        </w:rPr>
        <w:t>Įstatymo</w:t>
      </w:r>
      <w:r w:rsidR="00EE76C4" w:rsidRPr="00512F62">
        <w:rPr>
          <w:rFonts w:eastAsia="Times New Roman" w:cs="Times New Roman"/>
          <w:color w:val="FF0000"/>
          <w:szCs w:val="24"/>
        </w:rPr>
        <w:t xml:space="preserve"> </w:t>
      </w:r>
      <w:r w:rsidR="00EE76C4" w:rsidRPr="00512F62">
        <w:rPr>
          <w:rFonts w:cs="Times New Roman"/>
          <w:bCs/>
          <w:color w:val="000000"/>
          <w:szCs w:val="24"/>
        </w:rPr>
        <w:t>13</w:t>
      </w:r>
      <w:r w:rsidR="00EE76C4" w:rsidRPr="00512F62">
        <w:rPr>
          <w:rFonts w:cs="Times New Roman"/>
          <w:b/>
          <w:bCs/>
          <w:color w:val="000000"/>
          <w:szCs w:val="24"/>
        </w:rPr>
        <w:t xml:space="preserve"> </w:t>
      </w:r>
      <w:r w:rsidR="00EE76C4" w:rsidRPr="00512F62">
        <w:rPr>
          <w:rFonts w:cs="Times New Roman"/>
          <w:bCs/>
          <w:color w:val="000000"/>
          <w:szCs w:val="24"/>
        </w:rPr>
        <w:t>straipsnio</w:t>
      </w:r>
      <w:r w:rsidR="00EE76C4" w:rsidRPr="00512F62">
        <w:rPr>
          <w:rFonts w:cs="Times New Roman"/>
          <w:b/>
          <w:bCs/>
          <w:color w:val="000000"/>
          <w:szCs w:val="24"/>
        </w:rPr>
        <w:t xml:space="preserve"> </w:t>
      </w:r>
      <w:r w:rsidR="00EE76C4" w:rsidRPr="00512F62">
        <w:rPr>
          <w:rFonts w:cs="Times New Roman"/>
          <w:color w:val="000000"/>
          <w:szCs w:val="24"/>
        </w:rPr>
        <w:t>2</w:t>
      </w:r>
      <w:r w:rsidR="0038117C" w:rsidRPr="00512F62">
        <w:rPr>
          <w:rFonts w:cs="Times New Roman"/>
          <w:color w:val="000000"/>
          <w:szCs w:val="24"/>
        </w:rPr>
        <w:t xml:space="preserve">, 5, 8 </w:t>
      </w:r>
      <w:r w:rsidR="00EE76C4" w:rsidRPr="00512F62">
        <w:rPr>
          <w:rFonts w:cs="Times New Roman"/>
          <w:color w:val="000000"/>
          <w:szCs w:val="24"/>
        </w:rPr>
        <w:t>daly</w:t>
      </w:r>
      <w:r w:rsidR="0038117C" w:rsidRPr="00512F62">
        <w:rPr>
          <w:rFonts w:cs="Times New Roman"/>
          <w:color w:val="000000"/>
          <w:szCs w:val="24"/>
        </w:rPr>
        <w:t xml:space="preserve">s, </w:t>
      </w:r>
      <w:r w:rsidR="0038117C" w:rsidRPr="00512F62">
        <w:rPr>
          <w:rFonts w:eastAsia="Times New Roman" w:cs="Times New Roman"/>
          <w:szCs w:val="24"/>
        </w:rPr>
        <w:t xml:space="preserve">Vertintojų sąrašo sudarymo taisyklių </w:t>
      </w:r>
      <w:r w:rsidR="00545F65" w:rsidRPr="00512F62">
        <w:rPr>
          <w:rFonts w:eastAsia="Times New Roman" w:cs="Times New Roman"/>
          <w:szCs w:val="24"/>
        </w:rPr>
        <w:t xml:space="preserve">4, </w:t>
      </w:r>
      <w:r w:rsidR="0038117C" w:rsidRPr="00512F62">
        <w:rPr>
          <w:rFonts w:eastAsia="Times New Roman" w:cs="Times New Roman"/>
          <w:szCs w:val="24"/>
        </w:rPr>
        <w:t>9 punkta</w:t>
      </w:r>
      <w:r w:rsidR="00545F65" w:rsidRPr="00512F62">
        <w:rPr>
          <w:rFonts w:eastAsia="Times New Roman" w:cs="Times New Roman"/>
          <w:szCs w:val="24"/>
        </w:rPr>
        <w:t>i</w:t>
      </w:r>
      <w:r w:rsidR="0038117C" w:rsidRPr="00512F62">
        <w:rPr>
          <w:rFonts w:eastAsia="Times New Roman" w:cs="Times New Roman"/>
          <w:szCs w:val="24"/>
        </w:rPr>
        <w:t xml:space="preserve">, </w:t>
      </w:r>
      <w:r w:rsidR="0038117C" w:rsidRPr="00512F62">
        <w:rPr>
          <w:rFonts w:cs="Times New Roman"/>
          <w:szCs w:val="24"/>
        </w:rPr>
        <w:t xml:space="preserve">Skundų nagrinėjimo taisyklių </w:t>
      </w:r>
      <w:r w:rsidR="00F30505" w:rsidRPr="00512F62">
        <w:rPr>
          <w:rFonts w:cs="Times New Roman"/>
          <w:szCs w:val="24"/>
        </w:rPr>
        <w:t xml:space="preserve">10 punkto </w:t>
      </w:r>
      <w:r w:rsidR="0038117C" w:rsidRPr="00512F62">
        <w:rPr>
          <w:rFonts w:cs="Times New Roman"/>
          <w:szCs w:val="24"/>
        </w:rPr>
        <w:t xml:space="preserve">nuostatos, kt. </w:t>
      </w:r>
    </w:p>
    <w:p w14:paraId="12FB4F79" w14:textId="77777777" w:rsidR="00422F1C" w:rsidRPr="00512F62" w:rsidRDefault="00422F1C" w:rsidP="00422F1C">
      <w:pPr>
        <w:tabs>
          <w:tab w:val="left" w:pos="851"/>
        </w:tabs>
        <w:spacing w:line="360" w:lineRule="auto"/>
        <w:ind w:firstLine="851"/>
        <w:contextualSpacing/>
        <w:jc w:val="both"/>
        <w:rPr>
          <w:rFonts w:cs="Times New Roman"/>
          <w:szCs w:val="24"/>
        </w:rPr>
      </w:pPr>
      <w:r w:rsidRPr="00512F62">
        <w:rPr>
          <w:rFonts w:cs="Times New Roman"/>
          <w:szCs w:val="24"/>
        </w:rPr>
        <w:t xml:space="preserve">Siekdami </w:t>
      </w:r>
      <w:r w:rsidR="00147CCD" w:rsidRPr="00512F62">
        <w:rPr>
          <w:rFonts w:cs="Times New Roman"/>
          <w:szCs w:val="24"/>
        </w:rPr>
        <w:t xml:space="preserve">Priežiūros tarnybos </w:t>
      </w:r>
      <w:r w:rsidRPr="00512F62">
        <w:rPr>
          <w:rFonts w:cs="Times New Roman"/>
          <w:szCs w:val="24"/>
        </w:rPr>
        <w:t xml:space="preserve">priimamų sprendimų </w:t>
      </w:r>
      <w:r w:rsidR="009C14A1" w:rsidRPr="00512F62">
        <w:rPr>
          <w:rFonts w:cs="Times New Roman"/>
          <w:szCs w:val="24"/>
        </w:rPr>
        <w:t xml:space="preserve">objektyvumo, </w:t>
      </w:r>
      <w:r w:rsidRPr="00512F62">
        <w:rPr>
          <w:rFonts w:cs="Times New Roman"/>
          <w:szCs w:val="24"/>
        </w:rPr>
        <w:t>skaidrumo</w:t>
      </w:r>
      <w:r w:rsidR="009C14A1" w:rsidRPr="00512F62">
        <w:rPr>
          <w:rFonts w:cs="Times New Roman"/>
          <w:szCs w:val="24"/>
        </w:rPr>
        <w:t xml:space="preserve"> ir atsparumo korupcijai</w:t>
      </w:r>
      <w:r w:rsidRPr="00512F62">
        <w:rPr>
          <w:rFonts w:cs="Times New Roman"/>
          <w:szCs w:val="24"/>
        </w:rPr>
        <w:t>, siūl</w:t>
      </w:r>
      <w:r w:rsidR="009C14A1" w:rsidRPr="00512F62">
        <w:rPr>
          <w:rFonts w:cs="Times New Roman"/>
          <w:szCs w:val="24"/>
        </w:rPr>
        <w:t>o</w:t>
      </w:r>
      <w:r w:rsidRPr="00512F62">
        <w:rPr>
          <w:rFonts w:cs="Times New Roman"/>
          <w:szCs w:val="24"/>
        </w:rPr>
        <w:t xml:space="preserve">me detalizuoti, kokia tvarka, </w:t>
      </w:r>
      <w:r w:rsidR="00A43B17" w:rsidRPr="00512F62">
        <w:rPr>
          <w:rFonts w:cs="Times New Roman"/>
          <w:szCs w:val="24"/>
        </w:rPr>
        <w:t xml:space="preserve">terminais, </w:t>
      </w:r>
      <w:r w:rsidRPr="00512F62">
        <w:rPr>
          <w:rFonts w:cs="Times New Roman"/>
          <w:szCs w:val="24"/>
        </w:rPr>
        <w:t xml:space="preserve">kurių atsakingų darbuotojų </w:t>
      </w:r>
      <w:r w:rsidR="00147CCD" w:rsidRPr="00512F62">
        <w:rPr>
          <w:rFonts w:cs="Times New Roman"/>
          <w:szCs w:val="24"/>
        </w:rPr>
        <w:t>(</w:t>
      </w:r>
      <w:r w:rsidR="009C14A1" w:rsidRPr="00512F62">
        <w:rPr>
          <w:rFonts w:cs="Times New Roman"/>
          <w:szCs w:val="24"/>
        </w:rPr>
        <w:t>įgyvendinant</w:t>
      </w:r>
      <w:r w:rsidRPr="00512F62">
        <w:rPr>
          <w:rFonts w:cs="Times New Roman"/>
          <w:szCs w:val="24"/>
        </w:rPr>
        <w:t xml:space="preserve"> keturių akių principą ar specialiai sudar</w:t>
      </w:r>
      <w:r w:rsidR="009C14A1" w:rsidRPr="00512F62">
        <w:rPr>
          <w:rFonts w:cs="Times New Roman"/>
          <w:szCs w:val="24"/>
        </w:rPr>
        <w:t xml:space="preserve">ius </w:t>
      </w:r>
      <w:r w:rsidRPr="00512F62">
        <w:rPr>
          <w:rFonts w:cs="Times New Roman"/>
          <w:szCs w:val="24"/>
        </w:rPr>
        <w:t>komisij</w:t>
      </w:r>
      <w:r w:rsidR="009C14A1" w:rsidRPr="00512F62">
        <w:rPr>
          <w:rFonts w:cs="Times New Roman"/>
          <w:szCs w:val="24"/>
        </w:rPr>
        <w:t>ą</w:t>
      </w:r>
      <w:r w:rsidR="00147CCD" w:rsidRPr="00512F62">
        <w:rPr>
          <w:rFonts w:cs="Times New Roman"/>
          <w:szCs w:val="24"/>
        </w:rPr>
        <w:t>)</w:t>
      </w:r>
      <w:r w:rsidRPr="00512F62">
        <w:rPr>
          <w:rFonts w:cs="Times New Roman"/>
          <w:szCs w:val="24"/>
        </w:rPr>
        <w:t xml:space="preserve"> priimami atitinkami sprendimai.</w:t>
      </w:r>
    </w:p>
    <w:p w14:paraId="4E24A0A2" w14:textId="4DD96EE4" w:rsidR="00100B7B" w:rsidRPr="00512F62" w:rsidRDefault="0064241F" w:rsidP="00100B7B">
      <w:pPr>
        <w:tabs>
          <w:tab w:val="left" w:pos="851"/>
        </w:tabs>
        <w:spacing w:line="360" w:lineRule="auto"/>
        <w:ind w:firstLine="851"/>
        <w:contextualSpacing/>
        <w:jc w:val="both"/>
        <w:rPr>
          <w:rFonts w:eastAsia="Times New Roman" w:cs="Times New Roman"/>
          <w:b/>
          <w:szCs w:val="24"/>
        </w:rPr>
      </w:pPr>
      <w:r w:rsidRPr="00512F62">
        <w:rPr>
          <w:rFonts w:eastAsia="Times New Roman" w:cs="Times New Roman"/>
          <w:b/>
          <w:szCs w:val="24"/>
        </w:rPr>
        <w:t>3</w:t>
      </w:r>
      <w:r w:rsidR="00100B7B" w:rsidRPr="00512F62">
        <w:rPr>
          <w:rFonts w:eastAsia="Times New Roman" w:cs="Times New Roman"/>
          <w:b/>
          <w:szCs w:val="24"/>
        </w:rPr>
        <w:t>. Dėl Vertintojų sąrašo sudarymo taisyklių</w:t>
      </w:r>
    </w:p>
    <w:p w14:paraId="6E335239" w14:textId="77777777" w:rsidR="00EF4377" w:rsidRPr="00512F62" w:rsidRDefault="00EF4377" w:rsidP="006A362C">
      <w:pPr>
        <w:widowControl w:val="0"/>
        <w:suppressAutoHyphens/>
        <w:spacing w:line="360" w:lineRule="auto"/>
        <w:ind w:firstLine="851"/>
        <w:jc w:val="both"/>
        <w:rPr>
          <w:rFonts w:eastAsia="Times New Roman" w:cs="Times New Roman"/>
          <w:szCs w:val="24"/>
        </w:rPr>
      </w:pPr>
      <w:r w:rsidRPr="00512F62">
        <w:rPr>
          <w:rFonts w:eastAsia="Times New Roman" w:cs="Times New Roman"/>
          <w:szCs w:val="24"/>
        </w:rPr>
        <w:t>Vertintojų sąrašo sudarymo taisyklių 11</w:t>
      </w:r>
      <w:r w:rsidR="006A362C" w:rsidRPr="00512F62">
        <w:rPr>
          <w:rFonts w:eastAsia="Times New Roman" w:cs="Times New Roman"/>
          <w:szCs w:val="24"/>
        </w:rPr>
        <w:t xml:space="preserve"> punkte nustatyta, kad </w:t>
      </w:r>
      <w:r w:rsidRPr="00512F62">
        <w:rPr>
          <w:rFonts w:eastAsia="Times New Roman" w:cs="Times New Roman"/>
          <w:i/>
          <w:iCs/>
          <w:szCs w:val="24"/>
        </w:rPr>
        <w:t xml:space="preserve">Lietuvos Respublikoje įsteigtas juridinis asmuo arba jo filialas ar turto arba verslo vertintojas, veikiantis Lietuvos Respublikoje pagal individualios veiklos pažymą, norėdamas vėl būti įrašytas į Išorės vertintojų sąrašą, turi pateikti Priežiūros įstaigai prašymą ir įrodymus, kad priežastys, dėl kurių jis buvo išbrauktas iš Išorės vertintojų sąrašo, yra panaikintos. </w:t>
      </w:r>
    </w:p>
    <w:p w14:paraId="41E639B6" w14:textId="77777777" w:rsidR="00D97BC0" w:rsidRPr="00512F62" w:rsidRDefault="006A362C" w:rsidP="00EF437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lastRenderedPageBreak/>
        <w:t xml:space="preserve">Vertintuose teisės aktuose nėra reglamentuota, kiek kartų </w:t>
      </w:r>
      <w:r w:rsidR="00D97BC0" w:rsidRPr="00512F62">
        <w:rPr>
          <w:rFonts w:eastAsia="Times New Roman" w:cs="Times New Roman"/>
          <w:szCs w:val="24"/>
        </w:rPr>
        <w:t>vertintojai gali būti išbraukiami ir, pašalinus priežastis</w:t>
      </w:r>
      <w:r w:rsidR="00195040" w:rsidRPr="00512F62">
        <w:rPr>
          <w:rStyle w:val="FootnoteReference"/>
          <w:rFonts w:eastAsia="Times New Roman"/>
          <w:szCs w:val="24"/>
        </w:rPr>
        <w:footnoteReference w:id="11"/>
      </w:r>
      <w:r w:rsidR="00D97BC0" w:rsidRPr="00512F62">
        <w:rPr>
          <w:rFonts w:eastAsia="Times New Roman" w:cs="Times New Roman"/>
          <w:szCs w:val="24"/>
        </w:rPr>
        <w:t>, dėl kurių buvo priimtas minėtas sprendimas, vėl įtraukiami į Išorės vertintojų sąrašą</w:t>
      </w:r>
      <w:r w:rsidR="00A31BC6" w:rsidRPr="00512F62">
        <w:rPr>
          <w:rFonts w:eastAsia="Times New Roman" w:cs="Times New Roman"/>
          <w:szCs w:val="24"/>
        </w:rPr>
        <w:t xml:space="preserve">, nedetalizuotos ir tokio sprendimo priėmimo procedūros. </w:t>
      </w:r>
      <w:r w:rsidR="00D97BC0" w:rsidRPr="00512F62">
        <w:rPr>
          <w:rFonts w:eastAsia="Times New Roman" w:cs="Times New Roman"/>
          <w:szCs w:val="24"/>
        </w:rPr>
        <w:t xml:space="preserve">Taip pat nėra numatyta viešinti informaciją, kad </w:t>
      </w:r>
      <w:r w:rsidR="00A31BC6" w:rsidRPr="00512F62">
        <w:rPr>
          <w:rFonts w:eastAsia="Times New Roman" w:cs="Times New Roman"/>
          <w:szCs w:val="24"/>
        </w:rPr>
        <w:t xml:space="preserve">tam tikri </w:t>
      </w:r>
      <w:r w:rsidR="00D97BC0" w:rsidRPr="00512F62">
        <w:rPr>
          <w:rFonts w:eastAsia="Times New Roman" w:cs="Times New Roman"/>
          <w:szCs w:val="24"/>
        </w:rPr>
        <w:t>turto ar verslo vertintoja</w:t>
      </w:r>
      <w:r w:rsidR="00A31BC6" w:rsidRPr="00512F62">
        <w:rPr>
          <w:rFonts w:eastAsia="Times New Roman" w:cs="Times New Roman"/>
          <w:szCs w:val="24"/>
        </w:rPr>
        <w:t>i</w:t>
      </w:r>
      <w:r w:rsidR="00D97BC0" w:rsidRPr="00512F62">
        <w:rPr>
          <w:rFonts w:eastAsia="Times New Roman" w:cs="Times New Roman"/>
          <w:szCs w:val="24"/>
        </w:rPr>
        <w:t xml:space="preserve"> buvo laikinai</w:t>
      </w:r>
      <w:r w:rsidR="00E0559F" w:rsidRPr="00512F62">
        <w:rPr>
          <w:rFonts w:eastAsia="Times New Roman" w:cs="Times New Roman"/>
          <w:szCs w:val="24"/>
        </w:rPr>
        <w:t xml:space="preserve"> </w:t>
      </w:r>
      <w:r w:rsidR="00FF5CE0" w:rsidRPr="00512F62">
        <w:rPr>
          <w:rFonts w:eastAsia="Times New Roman" w:cs="Times New Roman"/>
          <w:szCs w:val="24"/>
        </w:rPr>
        <w:t xml:space="preserve">– </w:t>
      </w:r>
      <w:r w:rsidR="00E0559F" w:rsidRPr="00512F62">
        <w:rPr>
          <w:rFonts w:eastAsia="Times New Roman" w:cs="Times New Roman"/>
          <w:szCs w:val="24"/>
        </w:rPr>
        <w:t>ir kuriam laikui</w:t>
      </w:r>
      <w:r w:rsidR="00FF5CE0" w:rsidRPr="00512F62">
        <w:rPr>
          <w:rFonts w:eastAsia="Times New Roman" w:cs="Times New Roman"/>
          <w:szCs w:val="24"/>
        </w:rPr>
        <w:t xml:space="preserve"> –</w:t>
      </w:r>
      <w:r w:rsidR="00D97BC0" w:rsidRPr="00512F62">
        <w:rPr>
          <w:rFonts w:eastAsia="Times New Roman" w:cs="Times New Roman"/>
          <w:szCs w:val="24"/>
        </w:rPr>
        <w:t xml:space="preserve"> išbraukti iš minėto sąrašo</w:t>
      </w:r>
      <w:r w:rsidR="00FF5CE0" w:rsidRPr="00512F62">
        <w:rPr>
          <w:rFonts w:eastAsia="Times New Roman" w:cs="Times New Roman"/>
          <w:szCs w:val="24"/>
        </w:rPr>
        <w:t>:</w:t>
      </w:r>
      <w:r w:rsidR="009C6EE7" w:rsidRPr="00512F62">
        <w:rPr>
          <w:rFonts w:eastAsia="Times New Roman" w:cs="Times New Roman"/>
          <w:szCs w:val="24"/>
        </w:rPr>
        <w:t xml:space="preserve"> </w:t>
      </w:r>
      <w:r w:rsidR="00D97BC0" w:rsidRPr="00512F62">
        <w:rPr>
          <w:rFonts w:eastAsia="Times New Roman" w:cs="Times New Roman"/>
          <w:szCs w:val="24"/>
        </w:rPr>
        <w:t>Priežiūros įstaiga</w:t>
      </w:r>
      <w:r w:rsidR="009C6EE7" w:rsidRPr="00512F62">
        <w:rPr>
          <w:rFonts w:eastAsia="Times New Roman" w:cs="Times New Roman"/>
          <w:szCs w:val="24"/>
        </w:rPr>
        <w:t xml:space="preserve"> skelbia tik duomenis apie įtraukimą į Išorės vertintojų sąrašą</w:t>
      </w:r>
      <w:r w:rsidR="009C6EE7" w:rsidRPr="00512F62">
        <w:rPr>
          <w:rStyle w:val="FootnoteReference"/>
          <w:rFonts w:eastAsia="Times New Roman"/>
          <w:szCs w:val="24"/>
        </w:rPr>
        <w:footnoteReference w:id="12"/>
      </w:r>
      <w:r w:rsidR="00A31BC6" w:rsidRPr="00512F62">
        <w:rPr>
          <w:rFonts w:eastAsia="Times New Roman" w:cs="Times New Roman"/>
          <w:szCs w:val="24"/>
        </w:rPr>
        <w:t>.</w:t>
      </w:r>
      <w:r w:rsidR="00CE25B6" w:rsidRPr="00512F62">
        <w:rPr>
          <w:rFonts w:eastAsia="Times New Roman" w:cs="Times New Roman"/>
          <w:szCs w:val="24"/>
        </w:rPr>
        <w:t xml:space="preserve"> </w:t>
      </w:r>
    </w:p>
    <w:p w14:paraId="3840CF43" w14:textId="77777777" w:rsidR="00D97BC0" w:rsidRPr="00512F62" w:rsidRDefault="00F87E2C" w:rsidP="00EF4377">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Siūlome tikslinti aukščiau minėtas Vertintojų sąrašo sudarymo taisyklių nuostatas. </w:t>
      </w:r>
    </w:p>
    <w:p w14:paraId="295C1682" w14:textId="2BCEFA2B" w:rsidR="001B52C1" w:rsidRPr="00512F62" w:rsidRDefault="0064241F" w:rsidP="00FF028D">
      <w:pPr>
        <w:tabs>
          <w:tab w:val="left" w:pos="851"/>
        </w:tabs>
        <w:spacing w:line="360" w:lineRule="auto"/>
        <w:ind w:firstLine="851"/>
        <w:contextualSpacing/>
        <w:jc w:val="both"/>
        <w:rPr>
          <w:rFonts w:eastAsia="Times New Roman" w:cs="Times New Roman"/>
          <w:b/>
          <w:szCs w:val="24"/>
        </w:rPr>
      </w:pPr>
      <w:r w:rsidRPr="00512F62">
        <w:rPr>
          <w:rFonts w:eastAsia="Times New Roman" w:cs="Times New Roman"/>
          <w:b/>
          <w:szCs w:val="24"/>
        </w:rPr>
        <w:t>4</w:t>
      </w:r>
      <w:r w:rsidR="00564C2A" w:rsidRPr="00512F62">
        <w:rPr>
          <w:rFonts w:eastAsia="Times New Roman" w:cs="Times New Roman"/>
          <w:b/>
          <w:szCs w:val="24"/>
        </w:rPr>
        <w:t>. Dėl Patikrinimo taisyklių</w:t>
      </w:r>
    </w:p>
    <w:p w14:paraId="4CD8328C" w14:textId="603E155D" w:rsidR="00D61E9B" w:rsidRPr="00512F62" w:rsidRDefault="0064241F" w:rsidP="001C7B82">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bCs/>
          <w:szCs w:val="24"/>
        </w:rPr>
        <w:t>4</w:t>
      </w:r>
      <w:r w:rsidR="000D49EA" w:rsidRPr="00512F62">
        <w:rPr>
          <w:rFonts w:eastAsia="Times New Roman" w:cs="Times New Roman"/>
          <w:bCs/>
          <w:szCs w:val="24"/>
        </w:rPr>
        <w:t>.</w:t>
      </w:r>
      <w:r w:rsidR="00A37DFD" w:rsidRPr="00512F62">
        <w:rPr>
          <w:rFonts w:eastAsia="Times New Roman" w:cs="Times New Roman"/>
          <w:bCs/>
          <w:szCs w:val="24"/>
        </w:rPr>
        <w:t xml:space="preserve">1. </w:t>
      </w:r>
      <w:r w:rsidR="001C7B82" w:rsidRPr="00512F62">
        <w:rPr>
          <w:rFonts w:eastAsia="Times New Roman" w:cs="Times New Roman"/>
          <w:bCs/>
          <w:szCs w:val="24"/>
        </w:rPr>
        <w:t>Priežiūros įstaigos</w:t>
      </w:r>
      <w:r w:rsidR="001C7B82" w:rsidRPr="00512F62">
        <w:rPr>
          <w:rFonts w:eastAsia="Times New Roman" w:cs="Times New Roman"/>
          <w:b/>
          <w:szCs w:val="24"/>
        </w:rPr>
        <w:t xml:space="preserve"> </w:t>
      </w:r>
      <w:r w:rsidR="001C7B82" w:rsidRPr="00512F62">
        <w:rPr>
          <w:rFonts w:eastAsia="Times New Roman" w:cs="Times New Roman"/>
          <w:bCs/>
          <w:szCs w:val="24"/>
        </w:rPr>
        <w:t>interneto s</w:t>
      </w:r>
      <w:r w:rsidR="001C7B82" w:rsidRPr="00512F62">
        <w:rPr>
          <w:rFonts w:eastAsia="Times New Roman" w:cs="Times New Roman"/>
          <w:szCs w:val="24"/>
        </w:rPr>
        <w:t>vetainėje skelbiamas 2019 m. vertintojų patikrinimo planas</w:t>
      </w:r>
      <w:r w:rsidR="001C7B82" w:rsidRPr="00512F62">
        <w:rPr>
          <w:rStyle w:val="FootnoteReference"/>
          <w:rFonts w:eastAsia="Times New Roman"/>
          <w:szCs w:val="24"/>
        </w:rPr>
        <w:footnoteReference w:id="13"/>
      </w:r>
      <w:r w:rsidR="00AE0F50" w:rsidRPr="00512F62">
        <w:rPr>
          <w:rFonts w:eastAsia="Times New Roman" w:cs="Times New Roman"/>
          <w:szCs w:val="24"/>
        </w:rPr>
        <w:t xml:space="preserve"> –</w:t>
      </w:r>
      <w:r w:rsidR="001C7B82" w:rsidRPr="00512F62">
        <w:rPr>
          <w:rFonts w:eastAsia="Times New Roman" w:cs="Times New Roman"/>
          <w:szCs w:val="24"/>
        </w:rPr>
        <w:t xml:space="preserve"> </w:t>
      </w:r>
      <w:r w:rsidR="00AE0F50" w:rsidRPr="00512F62">
        <w:rPr>
          <w:rFonts w:eastAsia="Times New Roman" w:cs="Times New Roman"/>
          <w:szCs w:val="24"/>
        </w:rPr>
        <w:t>š</w:t>
      </w:r>
      <w:r w:rsidR="001C7B82" w:rsidRPr="00512F62">
        <w:rPr>
          <w:rFonts w:eastAsia="Times New Roman" w:cs="Times New Roman"/>
          <w:szCs w:val="24"/>
        </w:rPr>
        <w:t xml:space="preserve">iais metais planuojama patikrinti 32 vertinimo įmones arba nepriklausomus vertintojus, taip pat suplanuoti 19 paskesni vertintojų patikrinimai. </w:t>
      </w:r>
    </w:p>
    <w:p w14:paraId="1D17FCFA" w14:textId="77777777" w:rsidR="001C7B82" w:rsidRPr="00512F62" w:rsidRDefault="00EC489F" w:rsidP="001C7B82">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2019 metų I ketv. buvo numatyta pradėti 8 vertinimo įmonių ir vertintojų planinius patikrinimus</w:t>
      </w:r>
      <w:r w:rsidR="00AE0F50" w:rsidRPr="00512F62">
        <w:rPr>
          <w:rFonts w:eastAsia="Times New Roman" w:cs="Times New Roman"/>
          <w:szCs w:val="24"/>
        </w:rPr>
        <w:t xml:space="preserve"> – p</w:t>
      </w:r>
      <w:r w:rsidRPr="00512F62">
        <w:rPr>
          <w:rFonts w:eastAsia="Times New Roman" w:cs="Times New Roman"/>
          <w:szCs w:val="24"/>
        </w:rPr>
        <w:t>er šį laikotarpį</w:t>
      </w:r>
      <w:r w:rsidR="00AE0F50" w:rsidRPr="00512F62">
        <w:rPr>
          <w:rStyle w:val="FootnoteReference"/>
          <w:rFonts w:eastAsia="Times New Roman"/>
          <w:szCs w:val="24"/>
        </w:rPr>
        <w:footnoteReference w:id="14"/>
      </w:r>
      <w:r w:rsidRPr="00512F62">
        <w:rPr>
          <w:rFonts w:eastAsia="Times New Roman" w:cs="Times New Roman"/>
          <w:szCs w:val="24"/>
        </w:rPr>
        <w:t xml:space="preserve"> buvo atlikti 2 pirminiai planiniai patikrinimai, kurių metu buvo patikrintos 7 vertinimo ataskaitos, iš kurių 3 vertinimo ataskaitų atžvilgiu nustatyta trūkumų. </w:t>
      </w:r>
      <w:r w:rsidR="001C7B82" w:rsidRPr="00512F62">
        <w:rPr>
          <w:rFonts w:eastAsia="Times New Roman" w:cs="Times New Roman"/>
          <w:szCs w:val="24"/>
        </w:rPr>
        <w:t xml:space="preserve"> </w:t>
      </w:r>
    </w:p>
    <w:p w14:paraId="3C50CDAD" w14:textId="77777777" w:rsidR="007E2729" w:rsidRPr="00512F62" w:rsidRDefault="00240938" w:rsidP="00FF028D">
      <w:pPr>
        <w:tabs>
          <w:tab w:val="left" w:pos="851"/>
        </w:tabs>
        <w:spacing w:line="360" w:lineRule="auto"/>
        <w:ind w:firstLine="851"/>
        <w:contextualSpacing/>
        <w:jc w:val="both"/>
        <w:rPr>
          <w:rFonts w:eastAsia="Times New Roman" w:cs="Times New Roman"/>
          <w:bCs/>
          <w:szCs w:val="24"/>
        </w:rPr>
      </w:pPr>
      <w:r w:rsidRPr="00512F62">
        <w:rPr>
          <w:rFonts w:eastAsia="Times New Roman" w:cs="Times New Roman"/>
          <w:szCs w:val="24"/>
        </w:rPr>
        <w:t xml:space="preserve">Remiantis </w:t>
      </w:r>
      <w:r w:rsidR="0062261F" w:rsidRPr="00512F62">
        <w:rPr>
          <w:rFonts w:eastAsia="Times New Roman" w:cs="Times New Roman"/>
          <w:szCs w:val="24"/>
        </w:rPr>
        <w:t xml:space="preserve">Priežiūros tarnybos </w:t>
      </w:r>
      <w:r w:rsidRPr="00512F62">
        <w:rPr>
          <w:rFonts w:eastAsia="Times New Roman" w:cs="Times New Roman"/>
          <w:szCs w:val="24"/>
        </w:rPr>
        <w:t xml:space="preserve">2019 m. I ketv. </w:t>
      </w:r>
      <w:r w:rsidR="0062261F" w:rsidRPr="00512F62">
        <w:rPr>
          <w:rFonts w:eastAsia="Times New Roman" w:cs="Times New Roman"/>
          <w:szCs w:val="24"/>
        </w:rPr>
        <w:t>veiklos atskait</w:t>
      </w:r>
      <w:r w:rsidRPr="00512F62">
        <w:rPr>
          <w:rFonts w:eastAsia="Times New Roman" w:cs="Times New Roman"/>
          <w:szCs w:val="24"/>
        </w:rPr>
        <w:t>a</w:t>
      </w:r>
      <w:r w:rsidR="0062261F" w:rsidRPr="00512F62">
        <w:rPr>
          <w:rFonts w:eastAsia="Times New Roman" w:cs="Times New Roman"/>
          <w:szCs w:val="24"/>
        </w:rPr>
        <w:t xml:space="preserve">, </w:t>
      </w:r>
      <w:r w:rsidRPr="00512F62">
        <w:rPr>
          <w:rFonts w:eastAsia="Times New Roman" w:cs="Times New Roman"/>
          <w:szCs w:val="24"/>
        </w:rPr>
        <w:t xml:space="preserve">2019 m. kovo 31 d. vertintojo kvalifikaciją turėjo 308 asmenys, iš kurių 31 asmeniui vertintojo kvalifikacijos pažymėjimų galiojimas buvo sustabdytas. Vertintojo asistentų kvalifikaciją tuo laikotarpiu turėjo 208 asmenys, iš kurių 49 asmenims vertintojo asistento kvalifikacijos pažymėjimų galiojimas buvo sustabdytas. </w:t>
      </w:r>
    </w:p>
    <w:p w14:paraId="02EF2AF0" w14:textId="77777777" w:rsidR="00E07387" w:rsidRPr="00512F62" w:rsidRDefault="00F84F10" w:rsidP="00451EE0">
      <w:pPr>
        <w:tabs>
          <w:tab w:val="left" w:pos="851"/>
        </w:tabs>
        <w:spacing w:line="360" w:lineRule="auto"/>
        <w:ind w:firstLine="851"/>
        <w:contextualSpacing/>
        <w:jc w:val="both"/>
        <w:rPr>
          <w:rFonts w:eastAsia="Times New Roman" w:cs="Times New Roman"/>
          <w:bCs/>
          <w:szCs w:val="24"/>
        </w:rPr>
      </w:pPr>
      <w:r w:rsidRPr="00512F62">
        <w:rPr>
          <w:rFonts w:eastAsia="Times New Roman" w:cs="Times New Roman"/>
          <w:bCs/>
          <w:szCs w:val="24"/>
        </w:rPr>
        <w:t>Priežiūros tarnyba veiklos ataskaitoje nurod</w:t>
      </w:r>
      <w:r w:rsidR="00E23FB9" w:rsidRPr="00512F62">
        <w:rPr>
          <w:rFonts w:eastAsia="Times New Roman" w:cs="Times New Roman"/>
          <w:bCs/>
          <w:szCs w:val="24"/>
        </w:rPr>
        <w:t>ė</w:t>
      </w:r>
      <w:r w:rsidRPr="00512F62">
        <w:rPr>
          <w:rFonts w:eastAsia="Times New Roman" w:cs="Times New Roman"/>
          <w:bCs/>
          <w:szCs w:val="24"/>
        </w:rPr>
        <w:t xml:space="preserve">, kad </w:t>
      </w:r>
      <w:r w:rsidR="005050DF" w:rsidRPr="00512F62">
        <w:rPr>
          <w:rFonts w:eastAsia="Times New Roman" w:cs="Times New Roman"/>
          <w:bCs/>
          <w:szCs w:val="24"/>
        </w:rPr>
        <w:t xml:space="preserve">2018 m. planine tvarka patikrinus 31 subjektą </w:t>
      </w:r>
      <w:r w:rsidR="00BA5040" w:rsidRPr="00512F62">
        <w:rPr>
          <w:rFonts w:eastAsia="Times New Roman" w:cs="Times New Roman"/>
          <w:bCs/>
          <w:szCs w:val="24"/>
        </w:rPr>
        <w:t>ir patikrinus 6</w:t>
      </w:r>
      <w:r w:rsidR="00F108EF" w:rsidRPr="00512F62">
        <w:rPr>
          <w:rFonts w:eastAsia="Times New Roman" w:cs="Times New Roman"/>
          <w:bCs/>
          <w:szCs w:val="24"/>
        </w:rPr>
        <w:t>8</w:t>
      </w:r>
      <w:r w:rsidR="00BA5040" w:rsidRPr="00512F62">
        <w:rPr>
          <w:rFonts w:eastAsia="Times New Roman" w:cs="Times New Roman"/>
          <w:bCs/>
          <w:szCs w:val="24"/>
        </w:rPr>
        <w:t xml:space="preserve"> jų parengtą ataskaitą, </w:t>
      </w:r>
      <w:r w:rsidR="00F108EF" w:rsidRPr="00512F62">
        <w:rPr>
          <w:rFonts w:eastAsia="Times New Roman" w:cs="Times New Roman"/>
          <w:bCs/>
          <w:szCs w:val="24"/>
        </w:rPr>
        <w:t>31</w:t>
      </w:r>
      <w:r w:rsidR="00182730" w:rsidRPr="00512F62">
        <w:rPr>
          <w:rFonts w:eastAsia="Times New Roman" w:cs="Times New Roman"/>
          <w:bCs/>
          <w:szCs w:val="24"/>
        </w:rPr>
        <w:t xml:space="preserve"> ataskaitoje </w:t>
      </w:r>
      <w:r w:rsidR="005050DF" w:rsidRPr="00512F62">
        <w:rPr>
          <w:rFonts w:eastAsia="Times New Roman" w:cs="Times New Roman"/>
          <w:bCs/>
          <w:szCs w:val="24"/>
        </w:rPr>
        <w:t xml:space="preserve">nustatyta </w:t>
      </w:r>
      <w:r w:rsidR="00E23FB9" w:rsidRPr="00512F62">
        <w:rPr>
          <w:rFonts w:eastAsia="Times New Roman" w:cs="Times New Roman"/>
          <w:bCs/>
          <w:szCs w:val="24"/>
        </w:rPr>
        <w:lastRenderedPageBreak/>
        <w:t>trūkumų (</w:t>
      </w:r>
      <w:r w:rsidR="005050DF" w:rsidRPr="00512F62">
        <w:rPr>
          <w:rFonts w:eastAsia="Times New Roman" w:cs="Times New Roman"/>
          <w:bCs/>
          <w:szCs w:val="24"/>
        </w:rPr>
        <w:t>pažeidimų</w:t>
      </w:r>
      <w:r w:rsidR="00E23FB9" w:rsidRPr="00512F62">
        <w:rPr>
          <w:rFonts w:eastAsia="Times New Roman" w:cs="Times New Roman"/>
          <w:bCs/>
          <w:szCs w:val="24"/>
        </w:rPr>
        <w:t>)</w:t>
      </w:r>
      <w:r w:rsidR="00451EE0" w:rsidRPr="00512F62">
        <w:rPr>
          <w:rStyle w:val="FootnoteReference"/>
          <w:rFonts w:eastAsia="Times New Roman"/>
          <w:bCs/>
          <w:szCs w:val="24"/>
        </w:rPr>
        <w:footnoteReference w:id="15"/>
      </w:r>
      <w:r w:rsidR="00451EE0" w:rsidRPr="00512F62">
        <w:rPr>
          <w:rFonts w:eastAsia="Times New Roman" w:cs="Times New Roman"/>
          <w:bCs/>
          <w:szCs w:val="24"/>
        </w:rPr>
        <w:t xml:space="preserve">. </w:t>
      </w:r>
      <w:r w:rsidR="00E07387" w:rsidRPr="00512F62">
        <w:rPr>
          <w:rFonts w:eastAsia="Times New Roman" w:cs="Times New Roman"/>
          <w:szCs w:val="24"/>
        </w:rPr>
        <w:t>2019 m</w:t>
      </w:r>
      <w:r w:rsidR="00D71510" w:rsidRPr="00512F62">
        <w:rPr>
          <w:rFonts w:eastAsia="Times New Roman" w:cs="Times New Roman"/>
          <w:szCs w:val="24"/>
        </w:rPr>
        <w:t>.</w:t>
      </w:r>
      <w:r w:rsidR="00E07387" w:rsidRPr="00512F62">
        <w:rPr>
          <w:rFonts w:eastAsia="Times New Roman" w:cs="Times New Roman"/>
          <w:szCs w:val="24"/>
        </w:rPr>
        <w:t xml:space="preserve"> I ketv. buvo baigtas neplaninis </w:t>
      </w:r>
      <w:r w:rsidR="0056438B" w:rsidRPr="00512F62">
        <w:rPr>
          <w:rFonts w:eastAsia="Times New Roman" w:cs="Times New Roman"/>
          <w:szCs w:val="24"/>
        </w:rPr>
        <w:t>v</w:t>
      </w:r>
      <w:r w:rsidR="00E07387" w:rsidRPr="00512F62">
        <w:rPr>
          <w:rFonts w:eastAsia="Times New Roman" w:cs="Times New Roman"/>
          <w:szCs w:val="24"/>
        </w:rPr>
        <w:t xml:space="preserve">ertinimo </w:t>
      </w:r>
      <w:r w:rsidR="0056438B" w:rsidRPr="00512F62">
        <w:rPr>
          <w:rFonts w:eastAsia="Times New Roman" w:cs="Times New Roman"/>
          <w:szCs w:val="24"/>
        </w:rPr>
        <w:t>įmonės</w:t>
      </w:r>
      <w:r w:rsidR="00E07387" w:rsidRPr="00512F62">
        <w:rPr>
          <w:rFonts w:eastAsia="Times New Roman" w:cs="Times New Roman"/>
          <w:szCs w:val="24"/>
        </w:rPr>
        <w:t xml:space="preserve"> patikrinimas, kuri</w:t>
      </w:r>
      <w:r w:rsidR="00D71510" w:rsidRPr="00512F62">
        <w:rPr>
          <w:rFonts w:eastAsia="Times New Roman" w:cs="Times New Roman"/>
          <w:szCs w:val="24"/>
        </w:rPr>
        <w:t xml:space="preserve">o </w:t>
      </w:r>
      <w:r w:rsidR="00E07387" w:rsidRPr="00512F62">
        <w:rPr>
          <w:rFonts w:eastAsia="Times New Roman" w:cs="Times New Roman"/>
          <w:szCs w:val="24"/>
        </w:rPr>
        <w:t>metu buvo analizuojama 1 vertinimo ataskaita, kurios atžvilgiu buvo nustatyti reik</w:t>
      </w:r>
      <w:r w:rsidR="00451EE0" w:rsidRPr="00512F62">
        <w:rPr>
          <w:rFonts w:eastAsia="Times New Roman" w:cs="Times New Roman"/>
          <w:szCs w:val="24"/>
        </w:rPr>
        <w:t>š</w:t>
      </w:r>
      <w:r w:rsidR="00E07387" w:rsidRPr="00512F62">
        <w:rPr>
          <w:rFonts w:eastAsia="Times New Roman" w:cs="Times New Roman"/>
          <w:szCs w:val="24"/>
        </w:rPr>
        <w:t>mingi vertinimo trūkumai (pažeidimai)</w:t>
      </w:r>
      <w:r w:rsidR="00451EE0" w:rsidRPr="00512F62">
        <w:rPr>
          <w:rStyle w:val="FootnoteReference"/>
          <w:rFonts w:eastAsia="Times New Roman"/>
          <w:szCs w:val="24"/>
        </w:rPr>
        <w:footnoteReference w:id="16"/>
      </w:r>
      <w:r w:rsidR="00E07387" w:rsidRPr="00512F62">
        <w:rPr>
          <w:rFonts w:eastAsia="Times New Roman" w:cs="Times New Roman"/>
          <w:szCs w:val="24"/>
        </w:rPr>
        <w:t>.</w:t>
      </w:r>
    </w:p>
    <w:p w14:paraId="4A90E508" w14:textId="49E02952" w:rsidR="00B858D1" w:rsidRPr="00512F62" w:rsidRDefault="006F71C4" w:rsidP="00B858D1">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Atsižvelg</w:t>
      </w:r>
      <w:r w:rsidR="006E561A" w:rsidRPr="00512F62">
        <w:rPr>
          <w:rFonts w:eastAsia="Times New Roman" w:cs="Times New Roman"/>
          <w:szCs w:val="24"/>
        </w:rPr>
        <w:t xml:space="preserve">dami </w:t>
      </w:r>
      <w:r w:rsidRPr="00512F62">
        <w:rPr>
          <w:rFonts w:eastAsia="Times New Roman" w:cs="Times New Roman"/>
          <w:szCs w:val="24"/>
        </w:rPr>
        <w:t xml:space="preserve">į tai, kad </w:t>
      </w:r>
      <w:r w:rsidR="00190D9E" w:rsidRPr="00512F62">
        <w:rPr>
          <w:rFonts w:eastAsia="Times New Roman" w:cs="Times New Roman"/>
          <w:szCs w:val="24"/>
        </w:rPr>
        <w:t xml:space="preserve">kasmet patikrinama tik </w:t>
      </w:r>
      <w:r w:rsidR="006E561A" w:rsidRPr="00512F62">
        <w:rPr>
          <w:rFonts w:eastAsia="Times New Roman" w:cs="Times New Roman"/>
          <w:szCs w:val="24"/>
        </w:rPr>
        <w:t xml:space="preserve">nedidelė </w:t>
      </w:r>
      <w:r w:rsidR="00190D9E" w:rsidRPr="00512F62">
        <w:rPr>
          <w:rFonts w:eastAsia="Times New Roman" w:cs="Times New Roman"/>
          <w:szCs w:val="24"/>
        </w:rPr>
        <w:t>dalis ataskaitų</w:t>
      </w:r>
      <w:r w:rsidR="00190D9E" w:rsidRPr="00512F62">
        <w:rPr>
          <w:rStyle w:val="FootnoteReference"/>
          <w:rFonts w:eastAsia="Times New Roman"/>
          <w:szCs w:val="24"/>
        </w:rPr>
        <w:footnoteReference w:id="17"/>
      </w:r>
      <w:r w:rsidR="00190D9E" w:rsidRPr="00512F62">
        <w:rPr>
          <w:rFonts w:eastAsia="Times New Roman" w:cs="Times New Roman"/>
          <w:szCs w:val="24"/>
        </w:rPr>
        <w:t xml:space="preserve">, </w:t>
      </w:r>
      <w:r w:rsidRPr="00512F62">
        <w:rPr>
          <w:rFonts w:eastAsia="Times New Roman" w:cs="Times New Roman"/>
          <w:szCs w:val="24"/>
        </w:rPr>
        <w:t xml:space="preserve">beveik pusėje </w:t>
      </w:r>
      <w:r w:rsidR="00086364" w:rsidRPr="00512F62">
        <w:rPr>
          <w:rFonts w:eastAsia="Times New Roman" w:cs="Times New Roman"/>
          <w:szCs w:val="24"/>
        </w:rPr>
        <w:t>vertint</w:t>
      </w:r>
      <w:r w:rsidR="006E561A" w:rsidRPr="00512F62">
        <w:rPr>
          <w:rFonts w:eastAsia="Times New Roman" w:cs="Times New Roman"/>
          <w:szCs w:val="24"/>
        </w:rPr>
        <w:t>ų</w:t>
      </w:r>
      <w:r w:rsidR="00086364" w:rsidRPr="00512F62">
        <w:rPr>
          <w:rFonts w:eastAsia="Times New Roman" w:cs="Times New Roman"/>
          <w:szCs w:val="24"/>
        </w:rPr>
        <w:t xml:space="preserve"> </w:t>
      </w:r>
      <w:r w:rsidRPr="00512F62">
        <w:rPr>
          <w:rFonts w:eastAsia="Times New Roman" w:cs="Times New Roman"/>
          <w:szCs w:val="24"/>
        </w:rPr>
        <w:t xml:space="preserve">ataskaitų nustatoma tam tikrų trūkumų ir pažeidimų, į tai, kad nemažai daliai vertintojų yra sustabdytas vertintojo kvalifikacijos pažymėjimų galiojimas, </w:t>
      </w:r>
      <w:r w:rsidR="006E561A" w:rsidRPr="00512F62">
        <w:rPr>
          <w:rFonts w:eastAsia="Times New Roman" w:cs="Times New Roman"/>
          <w:szCs w:val="24"/>
        </w:rPr>
        <w:t xml:space="preserve">taip pat į tai, kad dėl nekokybiškai parengtų turto vertinimo ataskaitų ir jose netinkamai nustatytos turto vertės žalą gali patirti </w:t>
      </w:r>
      <w:r w:rsidR="00646DDD" w:rsidRPr="00512F62">
        <w:rPr>
          <w:rFonts w:eastAsia="Times New Roman" w:cs="Times New Roman"/>
          <w:szCs w:val="24"/>
        </w:rPr>
        <w:t xml:space="preserve">ne tik privatūs asmenys, bet ir </w:t>
      </w:r>
      <w:r w:rsidR="006E561A" w:rsidRPr="00512F62">
        <w:rPr>
          <w:rFonts w:eastAsia="Times New Roman" w:cs="Times New Roman"/>
          <w:szCs w:val="24"/>
        </w:rPr>
        <w:t>valstybė</w:t>
      </w:r>
      <w:r w:rsidR="00646DDD" w:rsidRPr="00512F62">
        <w:rPr>
          <w:rStyle w:val="FootnoteReference"/>
          <w:rFonts w:eastAsia="Times New Roman"/>
          <w:szCs w:val="24"/>
        </w:rPr>
        <w:footnoteReference w:id="18"/>
      </w:r>
      <w:r w:rsidR="006E561A" w:rsidRPr="00512F62">
        <w:rPr>
          <w:rFonts w:eastAsia="Times New Roman" w:cs="Times New Roman"/>
          <w:szCs w:val="24"/>
        </w:rPr>
        <w:t xml:space="preserve">, </w:t>
      </w:r>
      <w:r w:rsidR="00B858D1" w:rsidRPr="00512F62">
        <w:rPr>
          <w:rFonts w:eastAsia="Times New Roman" w:cs="Times New Roman"/>
          <w:szCs w:val="24"/>
        </w:rPr>
        <w:t>siūlytume Finansų ministerijai svarstyti galimybę tobulinti</w:t>
      </w:r>
      <w:r w:rsidR="00D35A6E" w:rsidRPr="00512F62">
        <w:rPr>
          <w:rFonts w:eastAsia="Times New Roman" w:cs="Times New Roman"/>
          <w:szCs w:val="24"/>
        </w:rPr>
        <w:t xml:space="preserve"> </w:t>
      </w:r>
      <w:r w:rsidR="00B858D1" w:rsidRPr="00512F62">
        <w:rPr>
          <w:rFonts w:eastAsia="Times New Roman" w:cs="Times New Roman"/>
          <w:szCs w:val="24"/>
        </w:rPr>
        <w:t>Priežiūros tarnybos veikl</w:t>
      </w:r>
      <w:r w:rsidR="00D35A6E" w:rsidRPr="00512F62">
        <w:rPr>
          <w:rFonts w:eastAsia="Times New Roman" w:cs="Times New Roman"/>
          <w:szCs w:val="24"/>
        </w:rPr>
        <w:t>os teisinį reguliavimą</w:t>
      </w:r>
      <w:r w:rsidR="00B858D1" w:rsidRPr="00512F62">
        <w:rPr>
          <w:rFonts w:eastAsia="Times New Roman" w:cs="Times New Roman"/>
          <w:szCs w:val="24"/>
        </w:rPr>
        <w:t xml:space="preserve">, užtikrinant didesnį jos efektyvumą nustatant vertintojų veiklos pažeidimus ir vykdant jų pasikartojimo prevenciją. </w:t>
      </w:r>
    </w:p>
    <w:p w14:paraId="67D1EA59" w14:textId="06CE983A" w:rsidR="00A37DFD" w:rsidRPr="00512F62" w:rsidRDefault="0064241F" w:rsidP="00FF028D">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4</w:t>
      </w:r>
      <w:r w:rsidR="000C3383" w:rsidRPr="00512F62">
        <w:rPr>
          <w:rFonts w:eastAsia="Times New Roman" w:cs="Times New Roman"/>
          <w:szCs w:val="24"/>
        </w:rPr>
        <w:t xml:space="preserve">.2. </w:t>
      </w:r>
      <w:r w:rsidR="00E9744F" w:rsidRPr="00512F62">
        <w:rPr>
          <w:rFonts w:eastAsia="Times New Roman" w:cs="Times New Roman"/>
          <w:szCs w:val="24"/>
        </w:rPr>
        <w:t>Atkreiptinas dėmesys, kad vertintuose teisės aktuose nėra detalizuota neplaninių patikrinimų atlikimo tvarka.</w:t>
      </w:r>
      <w:r w:rsidR="000C3383" w:rsidRPr="00512F62">
        <w:rPr>
          <w:rFonts w:eastAsia="Times New Roman" w:cs="Times New Roman"/>
          <w:szCs w:val="24"/>
        </w:rPr>
        <w:t xml:space="preserve"> </w:t>
      </w:r>
    </w:p>
    <w:p w14:paraId="7B1848DF" w14:textId="77777777" w:rsidR="001B52C1" w:rsidRPr="00512F62" w:rsidRDefault="000C3383" w:rsidP="00C34098">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Patikrinimo taisyklių </w:t>
      </w:r>
      <w:r w:rsidR="00C34098" w:rsidRPr="00512F62">
        <w:rPr>
          <w:rFonts w:eastAsia="Times New Roman" w:cs="Times New Roman"/>
          <w:szCs w:val="24"/>
        </w:rPr>
        <w:t>7</w:t>
      </w:r>
      <w:r w:rsidRPr="00512F62">
        <w:rPr>
          <w:rFonts w:eastAsia="Times New Roman" w:cs="Times New Roman"/>
          <w:szCs w:val="24"/>
        </w:rPr>
        <w:t xml:space="preserve"> punkte nustatyta, kad </w:t>
      </w:r>
      <w:r w:rsidRPr="00512F62">
        <w:rPr>
          <w:rFonts w:eastAsia="Times New Roman" w:cs="Times New Roman"/>
          <w:i/>
          <w:iCs/>
          <w:szCs w:val="24"/>
        </w:rPr>
        <w:t>n</w:t>
      </w:r>
      <w:r w:rsidR="00C34098" w:rsidRPr="00512F62">
        <w:rPr>
          <w:rFonts w:eastAsia="Times New Roman" w:cs="Times New Roman"/>
          <w:i/>
          <w:iCs/>
          <w:szCs w:val="24"/>
        </w:rPr>
        <w:t>eplaninis patikrinimas pradedamas rašytiniu motyvuotu Priežiūros įstaigos vadovo sprendimu</w:t>
      </w:r>
      <w:r w:rsidRPr="00512F62">
        <w:rPr>
          <w:rFonts w:eastAsia="Times New Roman" w:cs="Times New Roman"/>
          <w:szCs w:val="24"/>
        </w:rPr>
        <w:t xml:space="preserve"> </w:t>
      </w:r>
      <w:r w:rsidR="00C34098" w:rsidRPr="00512F62">
        <w:rPr>
          <w:rFonts w:eastAsia="Times New Roman" w:cs="Times New Roman"/>
          <w:i/>
          <w:iCs/>
          <w:szCs w:val="24"/>
        </w:rPr>
        <w:t>Priežiūros įstaigai vertintojo ar vertinimo įmonės veiklos ataskaitos tyrimo metu nustačius, kad veiklos ataskaitose pateikiama galimai ne visa arba klaidinga informacija</w:t>
      </w:r>
      <w:r w:rsidRPr="00512F62">
        <w:rPr>
          <w:rFonts w:eastAsia="Times New Roman" w:cs="Times New Roman"/>
          <w:szCs w:val="24"/>
        </w:rPr>
        <w:t xml:space="preserve"> (7.1. papunktis) arba </w:t>
      </w:r>
      <w:r w:rsidR="00C34098" w:rsidRPr="00512F62">
        <w:rPr>
          <w:rFonts w:eastAsia="Times New Roman" w:cs="Times New Roman"/>
          <w:szCs w:val="24"/>
        </w:rPr>
        <w:t>gavus kito viešojo administravimo subjekto ar kitos kompetentingos institucijos rašytinį motyvuotą prašymą atlikti vertintojo ar vertinimo įmonės veiklos patikrinimą</w:t>
      </w:r>
      <w:r w:rsidRPr="00512F62">
        <w:rPr>
          <w:rFonts w:eastAsia="Times New Roman" w:cs="Times New Roman"/>
          <w:szCs w:val="24"/>
        </w:rPr>
        <w:t xml:space="preserve"> (7.2 papunktis)</w:t>
      </w:r>
      <w:r w:rsidR="00C34098" w:rsidRPr="00512F62">
        <w:rPr>
          <w:rFonts w:eastAsia="Times New Roman" w:cs="Times New Roman"/>
          <w:szCs w:val="24"/>
        </w:rPr>
        <w:t>.</w:t>
      </w:r>
    </w:p>
    <w:p w14:paraId="6DB08C78" w14:textId="77777777" w:rsidR="00140FC6" w:rsidRPr="00512F62" w:rsidRDefault="000C3383" w:rsidP="00FF028D">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lastRenderedPageBreak/>
        <w:t>Iš aukščiau minėtų nuostatų nėra aišku, ar visais atvejais nustačius, kad veiklos ataskaitose pateikiama galimai ne visa arba klaidinga informacija priimamas sprendimas atlikti neplaninį patikrinimą</w:t>
      </w:r>
      <w:r w:rsidR="00140FC6" w:rsidRPr="00512F62">
        <w:rPr>
          <w:rFonts w:eastAsia="Times New Roman" w:cs="Times New Roman"/>
          <w:szCs w:val="24"/>
        </w:rPr>
        <w:t>,</w:t>
      </w:r>
      <w:r w:rsidRPr="00512F62">
        <w:rPr>
          <w:rFonts w:eastAsia="Times New Roman" w:cs="Times New Roman"/>
          <w:szCs w:val="24"/>
        </w:rPr>
        <w:t xml:space="preserve"> ar tik tam tikrais atvejais </w:t>
      </w:r>
      <w:r w:rsidR="006E343D" w:rsidRPr="00512F62">
        <w:rPr>
          <w:rFonts w:eastAsia="Times New Roman" w:cs="Times New Roman"/>
          <w:szCs w:val="24"/>
        </w:rPr>
        <w:t xml:space="preserve">priėmus </w:t>
      </w:r>
      <w:r w:rsidRPr="00512F62">
        <w:rPr>
          <w:rFonts w:eastAsia="Times New Roman" w:cs="Times New Roman"/>
          <w:szCs w:val="24"/>
        </w:rPr>
        <w:t>atskir</w:t>
      </w:r>
      <w:r w:rsidR="006E343D" w:rsidRPr="00512F62">
        <w:rPr>
          <w:rFonts w:eastAsia="Times New Roman" w:cs="Times New Roman"/>
          <w:szCs w:val="24"/>
        </w:rPr>
        <w:t>ą</w:t>
      </w:r>
      <w:r w:rsidRPr="00512F62">
        <w:rPr>
          <w:rFonts w:eastAsia="Times New Roman" w:cs="Times New Roman"/>
          <w:szCs w:val="24"/>
        </w:rPr>
        <w:t xml:space="preserve"> Priežiūros įstaigos vadovo </w:t>
      </w:r>
      <w:r w:rsidR="003E3C5E" w:rsidRPr="00512F62">
        <w:rPr>
          <w:rFonts w:eastAsia="Times New Roman" w:cs="Times New Roman"/>
          <w:szCs w:val="24"/>
        </w:rPr>
        <w:t>motyvuot</w:t>
      </w:r>
      <w:r w:rsidR="006E343D" w:rsidRPr="00512F62">
        <w:rPr>
          <w:rFonts w:eastAsia="Times New Roman" w:cs="Times New Roman"/>
          <w:szCs w:val="24"/>
        </w:rPr>
        <w:t>ą</w:t>
      </w:r>
      <w:r w:rsidR="003E3C5E" w:rsidRPr="00512F62">
        <w:rPr>
          <w:rFonts w:eastAsia="Times New Roman" w:cs="Times New Roman"/>
          <w:szCs w:val="24"/>
        </w:rPr>
        <w:t xml:space="preserve"> </w:t>
      </w:r>
      <w:r w:rsidRPr="00512F62">
        <w:rPr>
          <w:rFonts w:eastAsia="Times New Roman" w:cs="Times New Roman"/>
          <w:szCs w:val="24"/>
        </w:rPr>
        <w:t>sprendim</w:t>
      </w:r>
      <w:r w:rsidR="006E343D" w:rsidRPr="00512F62">
        <w:rPr>
          <w:rFonts w:eastAsia="Times New Roman" w:cs="Times New Roman"/>
          <w:szCs w:val="24"/>
        </w:rPr>
        <w:t>ą</w:t>
      </w:r>
      <w:r w:rsidR="003E3C5E" w:rsidRPr="00512F62">
        <w:rPr>
          <w:rFonts w:eastAsia="Times New Roman" w:cs="Times New Roman"/>
          <w:szCs w:val="24"/>
        </w:rPr>
        <w:t xml:space="preserve">. </w:t>
      </w:r>
    </w:p>
    <w:p w14:paraId="2909C25E" w14:textId="77777777" w:rsidR="00140FC6" w:rsidRPr="00512F62" w:rsidRDefault="003E3C5E" w:rsidP="00FF028D">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Be to, </w:t>
      </w:r>
      <w:r w:rsidR="00140FC6" w:rsidRPr="00512F62">
        <w:rPr>
          <w:rFonts w:eastAsia="Times New Roman" w:cs="Times New Roman"/>
          <w:szCs w:val="24"/>
        </w:rPr>
        <w:t>nėra de</w:t>
      </w:r>
      <w:r w:rsidRPr="00512F62">
        <w:rPr>
          <w:rFonts w:eastAsia="Times New Roman" w:cs="Times New Roman"/>
          <w:szCs w:val="24"/>
        </w:rPr>
        <w:t>talizuota, per kiek laiko</w:t>
      </w:r>
      <w:r w:rsidR="00400B0E" w:rsidRPr="00512F62">
        <w:rPr>
          <w:rFonts w:eastAsia="Times New Roman" w:cs="Times New Roman"/>
          <w:szCs w:val="24"/>
        </w:rPr>
        <w:t xml:space="preserve">, paaiškėjus 7.1 papunktyje nustatytoms aplinkybėms, arba gavus 7.2 papunktyje nustatytą prašymą </w:t>
      </w:r>
      <w:r w:rsidRPr="00512F62">
        <w:rPr>
          <w:rFonts w:eastAsia="Times New Roman" w:cs="Times New Roman"/>
          <w:szCs w:val="24"/>
        </w:rPr>
        <w:t>turi būti</w:t>
      </w:r>
      <w:r w:rsidR="00400B0E" w:rsidRPr="00512F62">
        <w:rPr>
          <w:rFonts w:eastAsia="Times New Roman" w:cs="Times New Roman"/>
          <w:szCs w:val="24"/>
        </w:rPr>
        <w:t xml:space="preserve"> priimamas sprendimas </w:t>
      </w:r>
      <w:r w:rsidRPr="00512F62">
        <w:rPr>
          <w:rFonts w:eastAsia="Times New Roman" w:cs="Times New Roman"/>
          <w:szCs w:val="24"/>
        </w:rPr>
        <w:t>atlik</w:t>
      </w:r>
      <w:r w:rsidR="00400B0E" w:rsidRPr="00512F62">
        <w:rPr>
          <w:rFonts w:eastAsia="Times New Roman" w:cs="Times New Roman"/>
          <w:szCs w:val="24"/>
        </w:rPr>
        <w:t>ti neplaninį patikrinimą</w:t>
      </w:r>
      <w:r w:rsidR="00AB5204" w:rsidRPr="00512F62">
        <w:rPr>
          <w:rFonts w:eastAsia="Times New Roman" w:cs="Times New Roman"/>
          <w:szCs w:val="24"/>
        </w:rPr>
        <w:t xml:space="preserve">, kokia tvarka atliekami neplaniniai patikrinimai, ar juos </w:t>
      </w:r>
      <w:r w:rsidR="00140FC6" w:rsidRPr="00512F62">
        <w:rPr>
          <w:rFonts w:eastAsia="Times New Roman" w:cs="Times New Roman"/>
          <w:szCs w:val="24"/>
        </w:rPr>
        <w:t xml:space="preserve">atlieka tie patys specialistai kaip ir planinius, ar taikoma jų rotacija ir pan. </w:t>
      </w:r>
    </w:p>
    <w:p w14:paraId="767263D7" w14:textId="77777777" w:rsidR="000C3383" w:rsidRPr="00512F62" w:rsidRDefault="00140FC6" w:rsidP="00FF028D">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Siekdami teisinio reglamentavimo aiškumo, tikslumo, nuoseklumo ir skaidrumo siūlome tikslinti Patikrinimo taisyklių 7 punkto nuostatas. </w:t>
      </w:r>
    </w:p>
    <w:p w14:paraId="1D6D2B30" w14:textId="66B366F1" w:rsidR="007F132D" w:rsidRPr="00512F62" w:rsidRDefault="0064241F" w:rsidP="00016AFD">
      <w:pPr>
        <w:tabs>
          <w:tab w:val="left" w:pos="851"/>
        </w:tabs>
        <w:spacing w:line="360" w:lineRule="auto"/>
        <w:ind w:firstLine="851"/>
        <w:contextualSpacing/>
        <w:jc w:val="both"/>
        <w:rPr>
          <w:rFonts w:cs="Times New Roman"/>
          <w:color w:val="000000"/>
          <w:szCs w:val="24"/>
        </w:rPr>
      </w:pPr>
      <w:r w:rsidRPr="00512F62">
        <w:rPr>
          <w:rFonts w:eastAsia="Times New Roman" w:cs="Times New Roman"/>
          <w:szCs w:val="24"/>
        </w:rPr>
        <w:t>4</w:t>
      </w:r>
      <w:r w:rsidR="00016AFD" w:rsidRPr="00512F62">
        <w:rPr>
          <w:rFonts w:eastAsia="Times New Roman" w:cs="Times New Roman"/>
          <w:szCs w:val="24"/>
        </w:rPr>
        <w:t xml:space="preserve">.3. Patikrinimo taisyklių </w:t>
      </w:r>
      <w:r w:rsidR="007F132D" w:rsidRPr="00512F62">
        <w:rPr>
          <w:rFonts w:cs="Times New Roman"/>
          <w:szCs w:val="24"/>
        </w:rPr>
        <w:t>13</w:t>
      </w:r>
      <w:r w:rsidR="00016AFD" w:rsidRPr="00512F62">
        <w:rPr>
          <w:rFonts w:cs="Times New Roman"/>
          <w:szCs w:val="24"/>
        </w:rPr>
        <w:t xml:space="preserve"> punkt</w:t>
      </w:r>
      <w:r w:rsidR="000A42F1" w:rsidRPr="00512F62">
        <w:rPr>
          <w:rFonts w:cs="Times New Roman"/>
          <w:szCs w:val="24"/>
        </w:rPr>
        <w:t xml:space="preserve">e įtvirtinta, kad </w:t>
      </w:r>
      <w:r w:rsidR="000A42F1" w:rsidRPr="00512F62">
        <w:rPr>
          <w:rFonts w:cs="Times New Roman"/>
          <w:i/>
          <w:iCs/>
          <w:szCs w:val="24"/>
        </w:rPr>
        <w:t>p</w:t>
      </w:r>
      <w:r w:rsidR="007F132D" w:rsidRPr="00512F62">
        <w:rPr>
          <w:rFonts w:cs="Times New Roman"/>
          <w:i/>
          <w:iCs/>
          <w:szCs w:val="24"/>
        </w:rPr>
        <w:t xml:space="preserve">laninių ir neplaninių patikrinimų atlikimo trukmė negali būti ilgesnė negu 60 dienų. Šis terminas </w:t>
      </w:r>
      <w:r w:rsidR="007F132D" w:rsidRPr="00512F62">
        <w:rPr>
          <w:rFonts w:cs="Times New Roman"/>
          <w:i/>
          <w:iCs/>
          <w:color w:val="000000"/>
          <w:szCs w:val="24"/>
        </w:rPr>
        <w:t>Priežiūros įstaigos vadovo rašytiniu motyvuotu sprendimu gali būti pratęstas, bet ne ilgiau kaip dar 30 dienų</w:t>
      </w:r>
      <w:r w:rsidR="007F132D" w:rsidRPr="00512F62">
        <w:rPr>
          <w:rFonts w:cs="Times New Roman"/>
          <w:color w:val="000000"/>
          <w:szCs w:val="24"/>
        </w:rPr>
        <w:t>.</w:t>
      </w:r>
      <w:r w:rsidR="0033303D" w:rsidRPr="00512F62">
        <w:rPr>
          <w:rFonts w:cs="Times New Roman"/>
          <w:color w:val="000000"/>
          <w:szCs w:val="24"/>
        </w:rPr>
        <w:t xml:space="preserve"> </w:t>
      </w:r>
    </w:p>
    <w:p w14:paraId="001EA27D" w14:textId="77777777" w:rsidR="00FE02CB" w:rsidRPr="00512F62" w:rsidRDefault="0033303D" w:rsidP="00016AFD">
      <w:pPr>
        <w:tabs>
          <w:tab w:val="left" w:pos="851"/>
        </w:tabs>
        <w:spacing w:line="360" w:lineRule="auto"/>
        <w:ind w:firstLine="851"/>
        <w:contextualSpacing/>
        <w:jc w:val="both"/>
        <w:rPr>
          <w:rFonts w:cs="Times New Roman"/>
          <w:color w:val="000000"/>
          <w:szCs w:val="24"/>
        </w:rPr>
      </w:pPr>
      <w:r w:rsidRPr="00512F62">
        <w:rPr>
          <w:rFonts w:cs="Times New Roman"/>
          <w:color w:val="000000"/>
          <w:szCs w:val="24"/>
        </w:rPr>
        <w:t xml:space="preserve">Mūsų nuomone, nedetalizavus objektyvių </w:t>
      </w:r>
      <w:r w:rsidR="008C5BE1" w:rsidRPr="00512F62">
        <w:rPr>
          <w:rFonts w:cs="Times New Roman"/>
          <w:color w:val="000000"/>
          <w:szCs w:val="24"/>
        </w:rPr>
        <w:t xml:space="preserve">aukščiau </w:t>
      </w:r>
      <w:r w:rsidRPr="00512F62">
        <w:rPr>
          <w:rFonts w:cs="Times New Roman"/>
          <w:color w:val="000000"/>
          <w:szCs w:val="24"/>
        </w:rPr>
        <w:t>minėtame punkte reglamentuojamo sprendimo priėmimo sąlygų ir kriterijų, gali atsirasti galimybė elgtis neobjektyviai ir nevienodai tikrinamųjų atžvilgiu, pavyzdžiui, vienu atveju, esant panašiems pažeidimams, nu</w:t>
      </w:r>
      <w:r w:rsidR="00874B08" w:rsidRPr="00512F62">
        <w:rPr>
          <w:rFonts w:cs="Times New Roman"/>
          <w:color w:val="000000"/>
          <w:szCs w:val="24"/>
        </w:rPr>
        <w:t xml:space="preserve">statant </w:t>
      </w:r>
      <w:r w:rsidRPr="00512F62">
        <w:rPr>
          <w:rFonts w:cs="Times New Roman"/>
          <w:color w:val="000000"/>
          <w:szCs w:val="24"/>
        </w:rPr>
        <w:t xml:space="preserve">itin trumpus patikrinimo terminus, </w:t>
      </w:r>
      <w:r w:rsidR="00106B8C" w:rsidRPr="00512F62">
        <w:rPr>
          <w:rFonts w:cs="Times New Roman"/>
          <w:color w:val="000000"/>
          <w:szCs w:val="24"/>
        </w:rPr>
        <w:t xml:space="preserve">galinčius lemti galimai paviršutinišką nustatytų pažeidimų tyrimą, </w:t>
      </w:r>
      <w:r w:rsidRPr="00512F62">
        <w:rPr>
          <w:rFonts w:cs="Times New Roman"/>
          <w:color w:val="000000"/>
          <w:szCs w:val="24"/>
        </w:rPr>
        <w:t>kitais atvejais – maksimalų terminą</w:t>
      </w:r>
      <w:r w:rsidR="00FE02CB" w:rsidRPr="00512F62">
        <w:rPr>
          <w:rFonts w:cs="Times New Roman"/>
          <w:color w:val="000000"/>
          <w:szCs w:val="24"/>
        </w:rPr>
        <w:t>, jį papildomai pratęsiant</w:t>
      </w:r>
      <w:r w:rsidR="00A560E2" w:rsidRPr="00512F62">
        <w:rPr>
          <w:rFonts w:cs="Times New Roman"/>
          <w:color w:val="000000"/>
          <w:szCs w:val="24"/>
        </w:rPr>
        <w:t xml:space="preserve"> dėl sprendimą priimančio asmens </w:t>
      </w:r>
      <w:r w:rsidR="005A27C0" w:rsidRPr="00512F62">
        <w:rPr>
          <w:rFonts w:cs="Times New Roman"/>
          <w:color w:val="000000"/>
          <w:szCs w:val="24"/>
        </w:rPr>
        <w:t>nuožiūra</w:t>
      </w:r>
      <w:r w:rsidR="00A560E2" w:rsidRPr="00512F62">
        <w:rPr>
          <w:rFonts w:cs="Times New Roman"/>
          <w:color w:val="000000"/>
          <w:szCs w:val="24"/>
        </w:rPr>
        <w:t xml:space="preserve"> </w:t>
      </w:r>
      <w:r w:rsidR="00672187" w:rsidRPr="00512F62">
        <w:rPr>
          <w:rFonts w:cs="Times New Roman"/>
          <w:color w:val="000000"/>
          <w:szCs w:val="24"/>
        </w:rPr>
        <w:t>įvardintų</w:t>
      </w:r>
      <w:r w:rsidR="00A560E2" w:rsidRPr="00512F62">
        <w:rPr>
          <w:rFonts w:cs="Times New Roman"/>
          <w:color w:val="000000"/>
          <w:szCs w:val="24"/>
        </w:rPr>
        <w:t xml:space="preserve"> priežasčių. </w:t>
      </w:r>
      <w:r w:rsidR="00FE02CB" w:rsidRPr="00512F62">
        <w:rPr>
          <w:rFonts w:cs="Times New Roman"/>
          <w:color w:val="000000"/>
          <w:szCs w:val="24"/>
        </w:rPr>
        <w:t xml:space="preserve"> </w:t>
      </w:r>
    </w:p>
    <w:p w14:paraId="324C44EA" w14:textId="77777777" w:rsidR="00A72A9A" w:rsidRPr="00512F62" w:rsidRDefault="00FE02CB" w:rsidP="00D702FD">
      <w:pPr>
        <w:tabs>
          <w:tab w:val="left" w:pos="851"/>
        </w:tabs>
        <w:spacing w:line="360" w:lineRule="auto"/>
        <w:ind w:firstLine="851"/>
        <w:contextualSpacing/>
        <w:jc w:val="both"/>
        <w:rPr>
          <w:rFonts w:cs="Times New Roman"/>
          <w:szCs w:val="24"/>
        </w:rPr>
      </w:pPr>
      <w:r w:rsidRPr="00512F62">
        <w:rPr>
          <w:rFonts w:cs="Times New Roman"/>
          <w:color w:val="000000"/>
          <w:szCs w:val="24"/>
        </w:rPr>
        <w:t>Atsižvelgdami į tai, siūlome tikslinti Patikrinimo taisyklių 13 punkto nuostatas, numatant sąlygas ir aplinkybes, turinčias įtakos patikrinimo atlikimo terminams ir jų pratęsimui, be kita ko, patikslinant termino skaičiavimo būdą (</w:t>
      </w:r>
      <w:r w:rsidRPr="00512F62">
        <w:rPr>
          <w:rFonts w:cs="Times New Roman"/>
          <w:szCs w:val="24"/>
        </w:rPr>
        <w:t xml:space="preserve">kalendorinėmis ar darbo dienomis). </w:t>
      </w:r>
    </w:p>
    <w:p w14:paraId="32FCA4FE" w14:textId="71E645E8" w:rsidR="00F54FF8" w:rsidRPr="00512F62" w:rsidRDefault="0064241F" w:rsidP="00805156">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4</w:t>
      </w:r>
      <w:r w:rsidR="00F54FF8" w:rsidRPr="00512F62">
        <w:rPr>
          <w:rFonts w:eastAsia="Times New Roman" w:cs="Times New Roman"/>
          <w:szCs w:val="24"/>
        </w:rPr>
        <w:t>.4. Vertintuose teisės aktuose nėra detalizuoti kitų valstybių narių turto arba verslo vertintojų, siekiančių vertinti turtą arba verslą Lietuvos Respublikoje įsisteigus ar laikinai arba kartais, veiklos kontrolės ypatumai, tvarka, procedūros, todėl siūlome patikslinti Patikrinimo taisykles nuostatomis, susijusiomis su kitų valstybių narių vertintojų veiklos kontrole</w:t>
      </w:r>
      <w:r w:rsidR="00362146" w:rsidRPr="00512F62">
        <w:rPr>
          <w:rStyle w:val="FootnoteReference"/>
          <w:rFonts w:eastAsia="Times New Roman"/>
          <w:szCs w:val="24"/>
        </w:rPr>
        <w:footnoteReference w:id="19"/>
      </w:r>
      <w:r w:rsidR="00F54FF8" w:rsidRPr="00512F62">
        <w:rPr>
          <w:rFonts w:eastAsia="Times New Roman" w:cs="Times New Roman"/>
          <w:szCs w:val="24"/>
        </w:rPr>
        <w:t xml:space="preserve">. </w:t>
      </w:r>
    </w:p>
    <w:p w14:paraId="2152804A" w14:textId="7D293DF6" w:rsidR="004E4675" w:rsidRPr="00512F62" w:rsidRDefault="0064241F" w:rsidP="00642439">
      <w:pPr>
        <w:tabs>
          <w:tab w:val="left" w:pos="851"/>
        </w:tabs>
        <w:spacing w:line="360" w:lineRule="auto"/>
        <w:ind w:firstLine="851"/>
        <w:contextualSpacing/>
        <w:jc w:val="both"/>
        <w:rPr>
          <w:rFonts w:eastAsia="Times New Roman" w:cs="Times New Roman"/>
          <w:b/>
          <w:bCs/>
          <w:szCs w:val="24"/>
        </w:rPr>
      </w:pPr>
      <w:r w:rsidRPr="00512F62">
        <w:rPr>
          <w:rFonts w:eastAsia="Times New Roman" w:cs="Times New Roman"/>
          <w:b/>
          <w:bCs/>
          <w:szCs w:val="24"/>
        </w:rPr>
        <w:lastRenderedPageBreak/>
        <w:t>5</w:t>
      </w:r>
      <w:r w:rsidR="004E4675" w:rsidRPr="00512F62">
        <w:rPr>
          <w:rFonts w:eastAsia="Times New Roman" w:cs="Times New Roman"/>
          <w:b/>
          <w:bCs/>
          <w:szCs w:val="24"/>
        </w:rPr>
        <w:t xml:space="preserve">. </w:t>
      </w:r>
      <w:r w:rsidR="003439D6" w:rsidRPr="00512F62">
        <w:rPr>
          <w:rFonts w:eastAsia="Times New Roman" w:cs="Times New Roman"/>
          <w:b/>
          <w:bCs/>
          <w:szCs w:val="24"/>
        </w:rPr>
        <w:t xml:space="preserve">Dėl Garbės teismo nuostatų </w:t>
      </w:r>
    </w:p>
    <w:p w14:paraId="75104C74" w14:textId="77777777" w:rsidR="00FC019C" w:rsidRPr="00512F62" w:rsidRDefault="00FC019C" w:rsidP="00FC019C">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Priežiūros tarnybos skelbiamų ataskaitų duomenimis, per 2018 m. ji 21 kartą kreipėsi į Garbės teismą dėl drausmės bylos iškėlimo. Pernai Garbės teismas nagrinėjo 12 drausmės bylų, iš kurių 3 nutraukė, 5 atvejais skyrė drausminę nuobaudą – pastabą, 1 atveju skyrė drausminę nuobaudą – papeikimą, 2 atvejais skyrė kvalifikacijos pažymėjimo galiojimo sustabdymą ir kvalifikacijos patikrinimą. 2019 m. I ketv. Garbės teismas išnagrinėjo 3 drausmės bylas: 2 atvejais skyrė drausminę nuobaudą – kvalifikacijos pažymėjimo galiojimo sustabdymą ir kvalifikacijos patikrinimą, o 1 atveju – pastabą</w:t>
      </w:r>
      <w:r w:rsidR="0011685D" w:rsidRPr="00512F62">
        <w:rPr>
          <w:rStyle w:val="FootnoteReference"/>
          <w:rFonts w:eastAsia="Times New Roman"/>
          <w:szCs w:val="24"/>
        </w:rPr>
        <w:footnoteReference w:id="20"/>
      </w:r>
      <w:r w:rsidRPr="00512F62">
        <w:rPr>
          <w:rFonts w:eastAsia="Times New Roman" w:cs="Times New Roman"/>
          <w:szCs w:val="24"/>
        </w:rPr>
        <w:t>.</w:t>
      </w:r>
    </w:p>
    <w:p w14:paraId="0D51F97A" w14:textId="1D80807A" w:rsidR="009D192C" w:rsidRPr="00512F62" w:rsidRDefault="0064241F" w:rsidP="00642439">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5</w:t>
      </w:r>
      <w:r w:rsidR="00D60094" w:rsidRPr="00512F62">
        <w:rPr>
          <w:rFonts w:eastAsia="Times New Roman" w:cs="Times New Roman"/>
          <w:szCs w:val="24"/>
        </w:rPr>
        <w:t xml:space="preserve">.1. </w:t>
      </w:r>
      <w:r w:rsidR="002807DE" w:rsidRPr="00512F62">
        <w:rPr>
          <w:rFonts w:eastAsia="Times New Roman" w:cs="Times New Roman"/>
          <w:szCs w:val="24"/>
        </w:rPr>
        <w:t xml:space="preserve">Garbės nuostatų 16 punkte įtvirtinta, kad </w:t>
      </w:r>
      <w:r w:rsidR="002807DE" w:rsidRPr="00512F62">
        <w:rPr>
          <w:rFonts w:eastAsia="Times New Roman" w:cs="Times New Roman"/>
          <w:i/>
          <w:iCs/>
          <w:szCs w:val="24"/>
        </w:rPr>
        <w:t>jeigu posėdžio metu paaiškėja aplinkybės, kurios gali turėti įtakos Garbės teismo nario ar Garbės teismo sekretoriaus nešališkumui, Garbės teismo narys ar Garbės teismo sekretorius privalo nedelsdamas žodžiu informuoti apie tai Garbės teismą ir nusišalinti &lt;...&gt;. Jeigu to nepadaro pats Garbės teismo narys ar Garbės teismo sekretorius, jį nušalina Garbės teismas &lt;...</w:t>
      </w:r>
      <w:r w:rsidR="002807DE" w:rsidRPr="00512F62">
        <w:rPr>
          <w:rFonts w:eastAsia="Times New Roman" w:cs="Times New Roman"/>
          <w:szCs w:val="24"/>
        </w:rPr>
        <w:t xml:space="preserve">&gt;. </w:t>
      </w:r>
    </w:p>
    <w:p w14:paraId="1CDC7033" w14:textId="021C231E" w:rsidR="00BB4853" w:rsidRPr="00512F62" w:rsidRDefault="00250FBD" w:rsidP="00642439">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Manytina, kad </w:t>
      </w:r>
      <w:r w:rsidR="007E66FF" w:rsidRPr="00512F62">
        <w:rPr>
          <w:rFonts w:eastAsia="Times New Roman" w:cs="Times New Roman"/>
          <w:szCs w:val="24"/>
        </w:rPr>
        <w:t xml:space="preserve">vertintojo </w:t>
      </w:r>
      <w:r w:rsidR="00735ADF" w:rsidRPr="00512F62">
        <w:rPr>
          <w:rFonts w:eastAsia="Times New Roman" w:cs="Times New Roman"/>
          <w:szCs w:val="24"/>
        </w:rPr>
        <w:t xml:space="preserve">profesinei </w:t>
      </w:r>
      <w:r w:rsidR="007E66FF" w:rsidRPr="00512F62">
        <w:rPr>
          <w:rFonts w:eastAsia="Times New Roman" w:cs="Times New Roman"/>
          <w:szCs w:val="24"/>
        </w:rPr>
        <w:t xml:space="preserve">veiklai </w:t>
      </w:r>
      <w:r w:rsidR="00735ADF" w:rsidRPr="00512F62">
        <w:rPr>
          <w:rFonts w:eastAsia="Times New Roman" w:cs="Times New Roman"/>
          <w:szCs w:val="24"/>
        </w:rPr>
        <w:t xml:space="preserve">ir reputacijai </w:t>
      </w:r>
      <w:r w:rsidR="007E66FF" w:rsidRPr="00512F62">
        <w:rPr>
          <w:rFonts w:eastAsia="Times New Roman" w:cs="Times New Roman"/>
          <w:szCs w:val="24"/>
        </w:rPr>
        <w:t>įtakos turinčius sprendimus dėl drausminių nuobaudų skyrimo</w:t>
      </w:r>
      <w:r w:rsidR="00735ADF" w:rsidRPr="00512F62">
        <w:rPr>
          <w:rFonts w:eastAsia="Times New Roman" w:cs="Times New Roman"/>
          <w:szCs w:val="24"/>
        </w:rPr>
        <w:t xml:space="preserve">, tarp kurių – ir kvalifikacijos pažymėjimo galiojimo sustabdymas, kvalifikacijos patikrinimas ir kt., priimančių Garbės teismo </w:t>
      </w:r>
      <w:r w:rsidRPr="00512F62">
        <w:rPr>
          <w:rFonts w:eastAsia="Times New Roman" w:cs="Times New Roman"/>
          <w:szCs w:val="24"/>
        </w:rPr>
        <w:t>narių nešališkum</w:t>
      </w:r>
      <w:r w:rsidR="00735ADF" w:rsidRPr="00512F62">
        <w:rPr>
          <w:rFonts w:eastAsia="Times New Roman" w:cs="Times New Roman"/>
          <w:szCs w:val="24"/>
        </w:rPr>
        <w:t>as neturi kelti jokių abejonių nuo</w:t>
      </w:r>
      <w:r w:rsidR="00B51265" w:rsidRPr="00512F62">
        <w:rPr>
          <w:rFonts w:eastAsia="Times New Roman" w:cs="Times New Roman"/>
          <w:szCs w:val="24"/>
        </w:rPr>
        <w:t xml:space="preserve"> pat akimirkos, kai šio teismo nariai gauna visą su nagrinėjama byla susijusią informaciją, t. y. </w:t>
      </w:r>
      <w:r w:rsidR="00C10085" w:rsidRPr="00512F62">
        <w:rPr>
          <w:rFonts w:eastAsia="Times New Roman" w:cs="Times New Roman"/>
          <w:szCs w:val="24"/>
        </w:rPr>
        <w:t xml:space="preserve">gerokai prieš posėdį – </w:t>
      </w:r>
      <w:r w:rsidR="00B51265" w:rsidRPr="00512F62">
        <w:rPr>
          <w:rFonts w:eastAsia="Times New Roman" w:cs="Times New Roman"/>
          <w:szCs w:val="24"/>
        </w:rPr>
        <w:t>nuo momento, kai</w:t>
      </w:r>
      <w:r w:rsidR="00C10085" w:rsidRPr="00512F62">
        <w:rPr>
          <w:rFonts w:eastAsia="Times New Roman" w:cs="Times New Roman"/>
          <w:szCs w:val="24"/>
        </w:rPr>
        <w:t xml:space="preserve"> j</w:t>
      </w:r>
      <w:r w:rsidR="00AC059C" w:rsidRPr="00512F62">
        <w:rPr>
          <w:rFonts w:eastAsia="Times New Roman" w:cs="Times New Roman"/>
          <w:szCs w:val="24"/>
        </w:rPr>
        <w:t>iems</w:t>
      </w:r>
      <w:r w:rsidR="00C10085" w:rsidRPr="00512F62">
        <w:rPr>
          <w:rFonts w:eastAsia="Times New Roman" w:cs="Times New Roman"/>
          <w:szCs w:val="24"/>
        </w:rPr>
        <w:t xml:space="preserve"> tampa </w:t>
      </w:r>
      <w:r w:rsidR="00B51265" w:rsidRPr="00512F62">
        <w:rPr>
          <w:rFonts w:eastAsia="Times New Roman" w:cs="Times New Roman"/>
          <w:szCs w:val="24"/>
        </w:rPr>
        <w:t>žinoma vertintojo</w:t>
      </w:r>
      <w:r w:rsidR="007F0182" w:rsidRPr="00512F62">
        <w:rPr>
          <w:rFonts w:eastAsia="Times New Roman" w:cs="Times New Roman"/>
          <w:szCs w:val="24"/>
        </w:rPr>
        <w:t xml:space="preserve"> (-jų)</w:t>
      </w:r>
      <w:r w:rsidR="00B51265" w:rsidRPr="00512F62">
        <w:rPr>
          <w:rFonts w:eastAsia="Times New Roman" w:cs="Times New Roman"/>
          <w:szCs w:val="24"/>
        </w:rPr>
        <w:t xml:space="preserve">, dėl kurio </w:t>
      </w:r>
      <w:r w:rsidR="007F0182" w:rsidRPr="00512F62">
        <w:rPr>
          <w:rFonts w:eastAsia="Times New Roman" w:cs="Times New Roman"/>
          <w:szCs w:val="24"/>
        </w:rPr>
        <w:t xml:space="preserve">(-ių) </w:t>
      </w:r>
      <w:r w:rsidR="00B51265" w:rsidRPr="00512F62">
        <w:rPr>
          <w:rFonts w:eastAsia="Times New Roman" w:cs="Times New Roman"/>
          <w:szCs w:val="24"/>
        </w:rPr>
        <w:t>iškelta drausmės byla, tapatybė.</w:t>
      </w:r>
      <w:r w:rsidR="00995D82" w:rsidRPr="00512F62">
        <w:rPr>
          <w:rFonts w:eastAsia="Times New Roman" w:cs="Times New Roman"/>
          <w:szCs w:val="24"/>
        </w:rPr>
        <w:t xml:space="preserve"> </w:t>
      </w:r>
    </w:p>
    <w:p w14:paraId="4FC914D1" w14:textId="77777777" w:rsidR="009D192C" w:rsidRPr="00512F62" w:rsidRDefault="00995D82" w:rsidP="00642439">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Siek</w:t>
      </w:r>
      <w:r w:rsidR="00BB4853" w:rsidRPr="00512F62">
        <w:rPr>
          <w:rFonts w:eastAsia="Times New Roman" w:cs="Times New Roman"/>
          <w:szCs w:val="24"/>
        </w:rPr>
        <w:t xml:space="preserve">dami </w:t>
      </w:r>
      <w:r w:rsidRPr="00512F62">
        <w:rPr>
          <w:rFonts w:eastAsia="Times New Roman" w:cs="Times New Roman"/>
          <w:szCs w:val="24"/>
        </w:rPr>
        <w:t xml:space="preserve">užkirsti bet kokias galimybes </w:t>
      </w:r>
      <w:r w:rsidR="00640852" w:rsidRPr="00512F62">
        <w:rPr>
          <w:rFonts w:eastAsia="Times New Roman" w:cs="Times New Roman"/>
          <w:szCs w:val="24"/>
        </w:rPr>
        <w:t>galimai šališkam n</w:t>
      </w:r>
      <w:r w:rsidRPr="00512F62">
        <w:rPr>
          <w:rFonts w:eastAsia="Times New Roman" w:cs="Times New Roman"/>
          <w:szCs w:val="24"/>
        </w:rPr>
        <w:t>ariui paveikti kit</w:t>
      </w:r>
      <w:r w:rsidR="00BB4853" w:rsidRPr="00512F62">
        <w:rPr>
          <w:rFonts w:eastAsia="Times New Roman" w:cs="Times New Roman"/>
          <w:szCs w:val="24"/>
        </w:rPr>
        <w:t xml:space="preserve">ų Garbės teismo </w:t>
      </w:r>
      <w:r w:rsidRPr="00512F62">
        <w:rPr>
          <w:rFonts w:eastAsia="Times New Roman" w:cs="Times New Roman"/>
          <w:szCs w:val="24"/>
        </w:rPr>
        <w:t>nari</w:t>
      </w:r>
      <w:r w:rsidR="00BB4853" w:rsidRPr="00512F62">
        <w:rPr>
          <w:rFonts w:eastAsia="Times New Roman" w:cs="Times New Roman"/>
          <w:szCs w:val="24"/>
        </w:rPr>
        <w:t xml:space="preserve">ų nuomonę, siūlome tikslinti Garbės teismo nuostatas numatant, kad teismo </w:t>
      </w:r>
      <w:r w:rsidR="00250FBD" w:rsidRPr="00512F62">
        <w:rPr>
          <w:rFonts w:eastAsia="Times New Roman" w:cs="Times New Roman"/>
          <w:szCs w:val="24"/>
        </w:rPr>
        <w:t xml:space="preserve">narys, turintis </w:t>
      </w:r>
      <w:r w:rsidR="00BB4853" w:rsidRPr="00512F62">
        <w:rPr>
          <w:rFonts w:eastAsia="Times New Roman" w:cs="Times New Roman"/>
          <w:szCs w:val="24"/>
        </w:rPr>
        <w:t>ar galintis turėti tam</w:t>
      </w:r>
      <w:r w:rsidR="00250FBD" w:rsidRPr="00512F62">
        <w:rPr>
          <w:rFonts w:eastAsia="Times New Roman" w:cs="Times New Roman"/>
          <w:szCs w:val="24"/>
        </w:rPr>
        <w:t xml:space="preserve"> tikrų ryšių su </w:t>
      </w:r>
      <w:r w:rsidR="00BB4853" w:rsidRPr="00512F62">
        <w:rPr>
          <w:rFonts w:eastAsia="Times New Roman" w:cs="Times New Roman"/>
          <w:szCs w:val="24"/>
        </w:rPr>
        <w:t xml:space="preserve">turto arba verslo vertintoju </w:t>
      </w:r>
      <w:r w:rsidR="00250FBD" w:rsidRPr="00512F62">
        <w:rPr>
          <w:rFonts w:eastAsia="Times New Roman" w:cs="Times New Roman"/>
          <w:szCs w:val="24"/>
        </w:rPr>
        <w:t>/ -ais, dėl kuri</w:t>
      </w:r>
      <w:r w:rsidR="00BB4853" w:rsidRPr="00512F62">
        <w:rPr>
          <w:rFonts w:eastAsia="Times New Roman" w:cs="Times New Roman"/>
          <w:szCs w:val="24"/>
        </w:rPr>
        <w:t>o (-ių)</w:t>
      </w:r>
      <w:r w:rsidR="00250FBD" w:rsidRPr="00512F62">
        <w:rPr>
          <w:rFonts w:eastAsia="Times New Roman" w:cs="Times New Roman"/>
          <w:szCs w:val="24"/>
        </w:rPr>
        <w:t xml:space="preserve"> gali kilti viešųjų ir privačių interesų konfliktas, turėtų nusišalinti iš karto, kai jam tampa žinomi </w:t>
      </w:r>
      <w:r w:rsidR="00BB4853" w:rsidRPr="00512F62">
        <w:rPr>
          <w:rFonts w:eastAsia="Times New Roman" w:cs="Times New Roman"/>
          <w:szCs w:val="24"/>
        </w:rPr>
        <w:t>minėto asmen</w:t>
      </w:r>
      <w:r w:rsidR="00640852" w:rsidRPr="00512F62">
        <w:rPr>
          <w:rFonts w:eastAsia="Times New Roman" w:cs="Times New Roman"/>
          <w:szCs w:val="24"/>
        </w:rPr>
        <w:t>s</w:t>
      </w:r>
      <w:r w:rsidR="00BB4853" w:rsidRPr="00512F62">
        <w:rPr>
          <w:rFonts w:eastAsia="Times New Roman" w:cs="Times New Roman"/>
          <w:szCs w:val="24"/>
        </w:rPr>
        <w:t xml:space="preserve"> (-ų)</w:t>
      </w:r>
      <w:r w:rsidR="00250FBD" w:rsidRPr="00512F62">
        <w:rPr>
          <w:rFonts w:eastAsia="Times New Roman" w:cs="Times New Roman"/>
          <w:szCs w:val="24"/>
        </w:rPr>
        <w:t xml:space="preserve"> duomenys.</w:t>
      </w:r>
    </w:p>
    <w:p w14:paraId="703069EB" w14:textId="173E30D8" w:rsidR="00345EAF" w:rsidRPr="00512F62" w:rsidRDefault="0064241F" w:rsidP="007B0AD8">
      <w:pPr>
        <w:tabs>
          <w:tab w:val="left" w:pos="851"/>
        </w:tabs>
        <w:spacing w:line="360" w:lineRule="auto"/>
        <w:ind w:firstLine="851"/>
        <w:contextualSpacing/>
        <w:jc w:val="both"/>
        <w:rPr>
          <w:rFonts w:cs="Times New Roman"/>
          <w:szCs w:val="24"/>
        </w:rPr>
      </w:pPr>
      <w:r w:rsidRPr="00512F62">
        <w:rPr>
          <w:rFonts w:eastAsia="Times New Roman" w:cs="Times New Roman"/>
          <w:szCs w:val="24"/>
        </w:rPr>
        <w:t>5</w:t>
      </w:r>
      <w:r w:rsidR="005C3855" w:rsidRPr="00512F62">
        <w:rPr>
          <w:rFonts w:eastAsia="Times New Roman" w:cs="Times New Roman"/>
          <w:szCs w:val="24"/>
        </w:rPr>
        <w:t xml:space="preserve">.2. </w:t>
      </w:r>
      <w:r w:rsidR="007B0AD8" w:rsidRPr="00512F62">
        <w:rPr>
          <w:rFonts w:eastAsia="Times New Roman" w:cs="Times New Roman"/>
          <w:szCs w:val="24"/>
        </w:rPr>
        <w:t xml:space="preserve">Antikorupciniu požiūriu neigiamai vertinama </w:t>
      </w:r>
      <w:r w:rsidR="00345EAF" w:rsidRPr="00512F62">
        <w:rPr>
          <w:rFonts w:eastAsia="Times New Roman" w:cs="Times New Roman"/>
          <w:szCs w:val="24"/>
        </w:rPr>
        <w:t xml:space="preserve">Įstatymo 29 straipsnio </w:t>
      </w:r>
      <w:r w:rsidR="00345EAF" w:rsidRPr="00512F62">
        <w:rPr>
          <w:rFonts w:cs="Times New Roman"/>
          <w:color w:val="000000"/>
          <w:szCs w:val="24"/>
        </w:rPr>
        <w:t>7 dali</w:t>
      </w:r>
      <w:r w:rsidR="007B0AD8" w:rsidRPr="00512F62">
        <w:rPr>
          <w:rFonts w:cs="Times New Roman"/>
          <w:color w:val="000000"/>
          <w:szCs w:val="24"/>
        </w:rPr>
        <w:t>e</w:t>
      </w:r>
      <w:r w:rsidR="00345EAF" w:rsidRPr="00512F62">
        <w:rPr>
          <w:rFonts w:cs="Times New Roman"/>
          <w:color w:val="000000"/>
          <w:szCs w:val="24"/>
        </w:rPr>
        <w:t xml:space="preserve">s </w:t>
      </w:r>
      <w:r w:rsidR="007B0AD8" w:rsidRPr="00512F62">
        <w:rPr>
          <w:rFonts w:cs="Times New Roman"/>
          <w:color w:val="000000"/>
          <w:szCs w:val="24"/>
        </w:rPr>
        <w:t>nuostata, numatanti</w:t>
      </w:r>
      <w:r w:rsidR="00345EAF" w:rsidRPr="00512F62">
        <w:rPr>
          <w:rFonts w:cs="Times New Roman"/>
          <w:color w:val="000000"/>
          <w:szCs w:val="24"/>
        </w:rPr>
        <w:t xml:space="preserve">, kad </w:t>
      </w:r>
      <w:r w:rsidR="007B0AD8" w:rsidRPr="00512F62">
        <w:rPr>
          <w:rFonts w:cs="Times New Roman"/>
          <w:i/>
          <w:iCs/>
          <w:szCs w:val="24"/>
        </w:rPr>
        <w:t>j</w:t>
      </w:r>
      <w:r w:rsidR="00345EAF" w:rsidRPr="00512F62">
        <w:rPr>
          <w:rFonts w:cs="Times New Roman"/>
          <w:i/>
          <w:iCs/>
          <w:szCs w:val="24"/>
        </w:rPr>
        <w:t xml:space="preserve">eigu Turto arba verslo vertintojų garbės teismas per </w:t>
      </w:r>
      <w:r w:rsidR="00345EAF" w:rsidRPr="00512F62">
        <w:rPr>
          <w:rFonts w:cs="Times New Roman"/>
          <w:i/>
          <w:iCs/>
          <w:szCs w:val="24"/>
        </w:rPr>
        <w:lastRenderedPageBreak/>
        <w:t>ne ilgiau kaip 60 dienų nuo drausmės bylos turto arba verslo vertintojui iškėlimo dienos nepriima sprendimo, turto arba verslo vertintojo drausmės byla laikoma nutraukta</w:t>
      </w:r>
      <w:r w:rsidR="0003484F" w:rsidRPr="00512F62">
        <w:rPr>
          <w:rFonts w:cs="Times New Roman"/>
          <w:i/>
          <w:iCs/>
          <w:szCs w:val="24"/>
        </w:rPr>
        <w:t xml:space="preserve">, </w:t>
      </w:r>
      <w:r w:rsidR="0003484F" w:rsidRPr="00512F62">
        <w:rPr>
          <w:rFonts w:cs="Times New Roman"/>
          <w:szCs w:val="24"/>
        </w:rPr>
        <w:t xml:space="preserve">nes sukuria galimybes nesąžiningiems susitarimams ir piktnaudžiavimui pasireikšti – užvilkinus bylos nagrinėjimą, vertintojas, galimai padaręs </w:t>
      </w:r>
      <w:r w:rsidR="007F0182" w:rsidRPr="00512F62">
        <w:rPr>
          <w:rFonts w:cs="Times New Roman"/>
          <w:szCs w:val="24"/>
        </w:rPr>
        <w:t>reikšmingų</w:t>
      </w:r>
      <w:r w:rsidR="0003484F" w:rsidRPr="00512F62">
        <w:rPr>
          <w:rFonts w:cs="Times New Roman"/>
          <w:szCs w:val="24"/>
        </w:rPr>
        <w:t xml:space="preserve"> pažeidimų, liktų nenubaustas ir toliau verstųsi turto arba verslo vertintojo praktika. </w:t>
      </w:r>
      <w:r w:rsidR="00345EAF" w:rsidRPr="00512F62">
        <w:rPr>
          <w:rFonts w:cs="Times New Roman"/>
          <w:szCs w:val="24"/>
        </w:rPr>
        <w:t xml:space="preserve"> </w:t>
      </w:r>
    </w:p>
    <w:p w14:paraId="0C5C4DF7" w14:textId="77777777" w:rsidR="00911B60" w:rsidRPr="00512F62" w:rsidRDefault="00911B60" w:rsidP="007B0AD8">
      <w:pPr>
        <w:tabs>
          <w:tab w:val="left" w:pos="851"/>
        </w:tabs>
        <w:spacing w:line="360" w:lineRule="auto"/>
        <w:ind w:firstLine="851"/>
        <w:contextualSpacing/>
        <w:jc w:val="both"/>
        <w:rPr>
          <w:rFonts w:cs="Times New Roman"/>
          <w:color w:val="000000"/>
          <w:szCs w:val="24"/>
        </w:rPr>
      </w:pPr>
      <w:r w:rsidRPr="00512F62">
        <w:rPr>
          <w:rFonts w:cs="Times New Roman"/>
          <w:szCs w:val="24"/>
        </w:rPr>
        <w:t xml:space="preserve">Atsižvelgdami į tai, siūlome inicijuoti minėtos Įstatymo nuostatos pakeitimą. </w:t>
      </w:r>
    </w:p>
    <w:p w14:paraId="05A74A55" w14:textId="5D9C7A5C" w:rsidR="0011385F" w:rsidRPr="00512F62" w:rsidRDefault="00B30FFF" w:rsidP="009272AD">
      <w:pPr>
        <w:tabs>
          <w:tab w:val="left" w:pos="851"/>
        </w:tabs>
        <w:spacing w:line="360" w:lineRule="auto"/>
        <w:ind w:firstLine="851"/>
        <w:contextualSpacing/>
        <w:jc w:val="both"/>
        <w:rPr>
          <w:rFonts w:cs="Times New Roman"/>
          <w:b/>
          <w:bCs/>
          <w:szCs w:val="24"/>
        </w:rPr>
      </w:pPr>
      <w:r w:rsidRPr="00512F62">
        <w:rPr>
          <w:rFonts w:cs="Times New Roman"/>
          <w:b/>
          <w:bCs/>
          <w:szCs w:val="24"/>
        </w:rPr>
        <w:t>6. Dėl Turto ir verslo vertinimo metodikos</w:t>
      </w:r>
    </w:p>
    <w:p w14:paraId="7DDB642F" w14:textId="77777777" w:rsidR="000E2F2E" w:rsidRPr="00512F62" w:rsidRDefault="00B30FFF" w:rsidP="00600503">
      <w:pPr>
        <w:tabs>
          <w:tab w:val="left" w:pos="851"/>
        </w:tabs>
        <w:spacing w:line="360" w:lineRule="auto"/>
        <w:ind w:firstLine="851"/>
        <w:contextualSpacing/>
        <w:jc w:val="both"/>
        <w:rPr>
          <w:rFonts w:eastAsia="Times New Roman" w:cs="Times New Roman"/>
          <w:szCs w:val="24"/>
        </w:rPr>
      </w:pPr>
      <w:r w:rsidRPr="00512F62">
        <w:rPr>
          <w:rFonts w:eastAsia="Times New Roman" w:cs="Times New Roman"/>
          <w:szCs w:val="24"/>
        </w:rPr>
        <w:t xml:space="preserve">Atkreiptinas dėmesys, kad </w:t>
      </w:r>
      <w:r w:rsidR="00666B02" w:rsidRPr="00512F62">
        <w:rPr>
          <w:rFonts w:eastAsia="Times New Roman" w:cs="Times New Roman"/>
          <w:szCs w:val="24"/>
        </w:rPr>
        <w:t xml:space="preserve">esame atlikę ir </w:t>
      </w:r>
      <w:r w:rsidRPr="00512F62">
        <w:rPr>
          <w:rFonts w:eastAsia="Times New Roman" w:cs="Times New Roman"/>
          <w:szCs w:val="24"/>
        </w:rPr>
        <w:t xml:space="preserve">2015 m. birželio 19 d. </w:t>
      </w:r>
      <w:r w:rsidR="00666B02" w:rsidRPr="00512F62">
        <w:rPr>
          <w:rFonts w:eastAsia="Times New Roman" w:cs="Times New Roman"/>
          <w:szCs w:val="24"/>
        </w:rPr>
        <w:t>Finansų ministerijai pateikę antikorupcinio vertinimo išvadą Nr. 4-01-4614 dėl Turto ir verslo vertinimo metodikos, patvirtintos Lietuvos Respublikos finansų ministro 2012 m. balandžio 27 d. įsakymu Nr. 1K-159</w:t>
      </w:r>
      <w:r w:rsidR="00666B02" w:rsidRPr="00512F62">
        <w:rPr>
          <w:rStyle w:val="FootnoteReference"/>
          <w:rFonts w:eastAsia="Times New Roman"/>
          <w:szCs w:val="24"/>
        </w:rPr>
        <w:footnoteReference w:id="21"/>
      </w:r>
      <w:r w:rsidR="00666B02" w:rsidRPr="00512F62">
        <w:rPr>
          <w:rFonts w:eastAsia="Times New Roman" w:cs="Times New Roman"/>
          <w:szCs w:val="24"/>
        </w:rPr>
        <w:t xml:space="preserve">. </w:t>
      </w:r>
      <w:r w:rsidR="00DE32F1" w:rsidRPr="00512F62">
        <w:rPr>
          <w:rFonts w:eastAsia="Times New Roman" w:cs="Times New Roman"/>
          <w:szCs w:val="24"/>
        </w:rPr>
        <w:t>Antikorupcinio vertinimo išvadoje pateiktos p</w:t>
      </w:r>
      <w:r w:rsidR="00666B02" w:rsidRPr="00512F62">
        <w:rPr>
          <w:rFonts w:eastAsia="Times New Roman" w:cs="Times New Roman"/>
          <w:szCs w:val="24"/>
        </w:rPr>
        <w:t xml:space="preserve">astabos ir rekomendacijos tebėra aktualios. </w:t>
      </w:r>
    </w:p>
    <w:p w14:paraId="649F5FF3" w14:textId="77777777" w:rsidR="00563200" w:rsidRPr="00512F62" w:rsidRDefault="00563200" w:rsidP="00563200">
      <w:pPr>
        <w:tabs>
          <w:tab w:val="left" w:pos="851"/>
        </w:tabs>
        <w:spacing w:line="336" w:lineRule="auto"/>
        <w:ind w:firstLine="851"/>
        <w:contextualSpacing/>
        <w:jc w:val="both"/>
        <w:rPr>
          <w:rFonts w:eastAsia="Times New Roman" w:cs="Times New Roman"/>
          <w:szCs w:val="24"/>
        </w:rPr>
      </w:pPr>
      <w:r w:rsidRPr="00512F62">
        <w:rPr>
          <w:rFonts w:eastAsia="Times New Roman" w:cs="Times New Roman"/>
          <w:szCs w:val="24"/>
        </w:rPr>
        <w:t>Prašome per du mėnesius nuo antikorupcinio vertinimo išvados gavimo dienos informuoti Specialiųjų tyrimų tarnybą, kaip buvo atsižvelgta į šioje išvadoje pateiktas pastabas</w:t>
      </w:r>
      <w:r w:rsidRPr="00512F62">
        <w:rPr>
          <w:rFonts w:eastAsia="Times New Roman" w:cs="Times New Roman"/>
          <w:szCs w:val="24"/>
          <w:vertAlign w:val="superscript"/>
        </w:rPr>
        <w:footnoteReference w:id="22"/>
      </w:r>
      <w:r w:rsidRPr="00512F62">
        <w:rPr>
          <w:rFonts w:eastAsia="Times New Roman" w:cs="Times New Roman"/>
          <w:szCs w:val="24"/>
        </w:rPr>
        <w:t>. Atsakymą prašome paskelbti per Lietuvos Respublikos Seimo teisės aktų informacinę sistemą ir jį susieti su šia antikorupcinio vertinimo išvada.</w:t>
      </w:r>
    </w:p>
    <w:p w14:paraId="5130D74D" w14:textId="77777777" w:rsidR="00563200" w:rsidRPr="00512F62" w:rsidRDefault="00563200" w:rsidP="00563200">
      <w:pPr>
        <w:tabs>
          <w:tab w:val="left" w:pos="851"/>
        </w:tabs>
        <w:spacing w:line="336" w:lineRule="auto"/>
        <w:ind w:firstLine="851"/>
        <w:contextualSpacing/>
        <w:jc w:val="both"/>
        <w:rPr>
          <w:rFonts w:eastAsia="Times New Roman" w:cs="Times New Roman"/>
          <w:szCs w:val="24"/>
          <w:lang w:eastAsia="lt-LT"/>
        </w:rPr>
      </w:pPr>
    </w:p>
    <w:p w14:paraId="59C07FA2" w14:textId="77777777" w:rsidR="00563200" w:rsidRPr="00512F62" w:rsidRDefault="00563200" w:rsidP="00563200">
      <w:pPr>
        <w:tabs>
          <w:tab w:val="left" w:pos="851"/>
        </w:tabs>
        <w:spacing w:line="336" w:lineRule="auto"/>
        <w:ind w:firstLine="851"/>
        <w:contextualSpacing/>
        <w:jc w:val="both"/>
        <w:rPr>
          <w:rFonts w:eastAsia="Times New Roman" w:cs="Times New Roman"/>
          <w:szCs w:val="24"/>
          <w:lang w:eastAsia="lt-LT"/>
        </w:rPr>
      </w:pPr>
    </w:p>
    <w:p w14:paraId="48ED61D0" w14:textId="77777777" w:rsidR="00CB1249" w:rsidRPr="00512F62" w:rsidRDefault="00CB1249" w:rsidP="00563200">
      <w:pPr>
        <w:tabs>
          <w:tab w:val="left" w:pos="851"/>
        </w:tabs>
        <w:spacing w:line="336" w:lineRule="auto"/>
        <w:ind w:firstLine="851"/>
        <w:contextualSpacing/>
        <w:jc w:val="both"/>
        <w:rPr>
          <w:rFonts w:eastAsia="Times New Roman" w:cs="Times New Roman"/>
          <w:szCs w:val="24"/>
          <w:lang w:eastAsia="lt-LT"/>
        </w:rPr>
      </w:pPr>
    </w:p>
    <w:p w14:paraId="55CE3AFC" w14:textId="77777777" w:rsidR="00CB1249" w:rsidRPr="00512F62" w:rsidRDefault="00CB1249" w:rsidP="00563200">
      <w:pPr>
        <w:tabs>
          <w:tab w:val="left" w:pos="851"/>
        </w:tabs>
        <w:spacing w:line="336" w:lineRule="auto"/>
        <w:ind w:firstLine="851"/>
        <w:contextualSpacing/>
        <w:jc w:val="both"/>
        <w:rPr>
          <w:rFonts w:eastAsia="Times New Roman" w:cs="Times New Roman"/>
          <w:szCs w:val="24"/>
          <w:lang w:eastAsia="lt-LT"/>
        </w:rPr>
      </w:pPr>
    </w:p>
    <w:p w14:paraId="63B9A7E4" w14:textId="77777777" w:rsidR="00563200" w:rsidRPr="00512F62" w:rsidRDefault="00563200" w:rsidP="00563200">
      <w:pPr>
        <w:tabs>
          <w:tab w:val="left" w:pos="851"/>
        </w:tabs>
        <w:spacing w:line="336" w:lineRule="auto"/>
        <w:contextualSpacing/>
        <w:jc w:val="both"/>
        <w:rPr>
          <w:rFonts w:eastAsia="Times New Roman" w:cs="Times New Roman"/>
          <w:szCs w:val="24"/>
          <w:lang w:eastAsia="lt-LT"/>
        </w:rPr>
      </w:pPr>
      <w:r w:rsidRPr="00512F62">
        <w:rPr>
          <w:rFonts w:eastAsia="Times New Roman" w:cs="Times New Roman"/>
          <w:szCs w:val="24"/>
          <w:lang w:eastAsia="lt-LT"/>
        </w:rPr>
        <w:t>Direktori</w:t>
      </w:r>
      <w:r w:rsidR="00810AF2" w:rsidRPr="00512F62">
        <w:rPr>
          <w:rFonts w:eastAsia="Times New Roman" w:cs="Times New Roman"/>
          <w:szCs w:val="24"/>
          <w:lang w:eastAsia="lt-LT"/>
        </w:rPr>
        <w:t>au</w:t>
      </w:r>
      <w:r w:rsidRPr="00512F62">
        <w:rPr>
          <w:rFonts w:eastAsia="Times New Roman" w:cs="Times New Roman"/>
          <w:szCs w:val="24"/>
          <w:lang w:eastAsia="lt-LT"/>
        </w:rPr>
        <w:t xml:space="preserve">s </w:t>
      </w:r>
      <w:r w:rsidR="00810AF2" w:rsidRPr="00512F62">
        <w:rPr>
          <w:rFonts w:eastAsia="Times New Roman" w:cs="Times New Roman"/>
          <w:szCs w:val="24"/>
          <w:lang w:eastAsia="lt-LT"/>
        </w:rPr>
        <w:t xml:space="preserve">pavaduotojas  </w:t>
      </w:r>
      <w:r w:rsidRPr="00512F62">
        <w:rPr>
          <w:rFonts w:eastAsia="Times New Roman" w:cs="Times New Roman"/>
          <w:szCs w:val="24"/>
          <w:lang w:eastAsia="lt-LT"/>
        </w:rPr>
        <w:tab/>
        <w:t xml:space="preserve">               </w:t>
      </w:r>
      <w:r w:rsidR="00CB1249" w:rsidRPr="00512F62">
        <w:rPr>
          <w:rFonts w:eastAsia="Times New Roman" w:cs="Times New Roman"/>
          <w:szCs w:val="24"/>
          <w:lang w:eastAsia="lt-LT"/>
        </w:rPr>
        <w:t xml:space="preserve">                                            </w:t>
      </w:r>
      <w:r w:rsidRPr="00512F62">
        <w:rPr>
          <w:rFonts w:eastAsia="Times New Roman" w:cs="Times New Roman"/>
          <w:szCs w:val="24"/>
          <w:lang w:eastAsia="lt-LT"/>
        </w:rPr>
        <w:t xml:space="preserve"> </w:t>
      </w:r>
      <w:r w:rsidR="000E436D" w:rsidRPr="00512F62">
        <w:rPr>
          <w:rFonts w:eastAsia="Times New Roman" w:cs="Times New Roman"/>
          <w:szCs w:val="24"/>
          <w:lang w:eastAsia="lt-LT"/>
        </w:rPr>
        <w:t xml:space="preserve">Egidijus Radzevičius </w:t>
      </w:r>
      <w:r w:rsidR="00CB1249" w:rsidRPr="00512F62">
        <w:rPr>
          <w:rFonts w:eastAsia="Times New Roman" w:cs="Times New Roman"/>
          <w:szCs w:val="24"/>
          <w:lang w:eastAsia="lt-LT"/>
        </w:rPr>
        <w:t xml:space="preserve"> </w:t>
      </w:r>
    </w:p>
    <w:p w14:paraId="646AC791" w14:textId="77777777" w:rsidR="00563200" w:rsidRPr="00512F62" w:rsidRDefault="00563200" w:rsidP="00563200">
      <w:pPr>
        <w:tabs>
          <w:tab w:val="left" w:pos="851"/>
        </w:tabs>
        <w:spacing w:line="336" w:lineRule="auto"/>
        <w:contextualSpacing/>
        <w:jc w:val="both"/>
        <w:rPr>
          <w:rFonts w:eastAsia="Times New Roman" w:cs="Times New Roman"/>
          <w:szCs w:val="24"/>
          <w:lang w:eastAsia="lt-LT"/>
        </w:rPr>
      </w:pPr>
    </w:p>
    <w:p w14:paraId="6F76FB89" w14:textId="77777777" w:rsidR="00563200" w:rsidRPr="00512F62" w:rsidRDefault="00563200" w:rsidP="00563200">
      <w:pPr>
        <w:tabs>
          <w:tab w:val="left" w:pos="851"/>
        </w:tabs>
        <w:spacing w:line="336" w:lineRule="auto"/>
        <w:contextualSpacing/>
        <w:jc w:val="both"/>
        <w:rPr>
          <w:rFonts w:eastAsia="Times New Roman" w:cs="Times New Roman"/>
          <w:szCs w:val="24"/>
          <w:lang w:eastAsia="lt-LT"/>
        </w:rPr>
      </w:pPr>
    </w:p>
    <w:p w14:paraId="429CAC42" w14:textId="77777777" w:rsidR="00563200" w:rsidRPr="00512F62" w:rsidRDefault="00563200" w:rsidP="00563200">
      <w:pPr>
        <w:tabs>
          <w:tab w:val="left" w:pos="851"/>
        </w:tabs>
        <w:spacing w:line="336" w:lineRule="auto"/>
        <w:contextualSpacing/>
        <w:jc w:val="both"/>
        <w:rPr>
          <w:rFonts w:eastAsia="Times New Roman" w:cs="Times New Roman"/>
          <w:szCs w:val="24"/>
          <w:lang w:eastAsia="lt-LT"/>
        </w:rPr>
      </w:pPr>
    </w:p>
    <w:p w14:paraId="0F8932A0" w14:textId="7447ECB7" w:rsidR="00563200" w:rsidRDefault="00563200" w:rsidP="00563200">
      <w:pPr>
        <w:tabs>
          <w:tab w:val="left" w:pos="851"/>
        </w:tabs>
        <w:spacing w:line="336" w:lineRule="auto"/>
        <w:contextualSpacing/>
        <w:jc w:val="both"/>
        <w:rPr>
          <w:rFonts w:eastAsia="Times New Roman" w:cs="Times New Roman"/>
          <w:szCs w:val="24"/>
          <w:lang w:eastAsia="lt-LT"/>
        </w:rPr>
      </w:pPr>
    </w:p>
    <w:p w14:paraId="06510EE9" w14:textId="6EB5BFCE" w:rsidR="00532815" w:rsidRDefault="00532815" w:rsidP="00563200">
      <w:pPr>
        <w:tabs>
          <w:tab w:val="left" w:pos="851"/>
        </w:tabs>
        <w:spacing w:line="336" w:lineRule="auto"/>
        <w:contextualSpacing/>
        <w:jc w:val="both"/>
        <w:rPr>
          <w:rFonts w:eastAsia="Times New Roman" w:cs="Times New Roman"/>
          <w:szCs w:val="24"/>
          <w:lang w:eastAsia="lt-LT"/>
        </w:rPr>
      </w:pPr>
    </w:p>
    <w:p w14:paraId="4D8C46C2" w14:textId="1983634F" w:rsidR="00532815" w:rsidRDefault="00532815" w:rsidP="00563200">
      <w:pPr>
        <w:tabs>
          <w:tab w:val="left" w:pos="851"/>
        </w:tabs>
        <w:spacing w:line="336" w:lineRule="auto"/>
        <w:contextualSpacing/>
        <w:jc w:val="both"/>
        <w:rPr>
          <w:rFonts w:eastAsia="Times New Roman" w:cs="Times New Roman"/>
          <w:szCs w:val="24"/>
          <w:lang w:eastAsia="lt-LT"/>
        </w:rPr>
      </w:pPr>
    </w:p>
    <w:p w14:paraId="60859794" w14:textId="0014E65B" w:rsidR="00532815" w:rsidRDefault="00532815" w:rsidP="00563200">
      <w:pPr>
        <w:tabs>
          <w:tab w:val="left" w:pos="851"/>
        </w:tabs>
        <w:spacing w:line="336" w:lineRule="auto"/>
        <w:contextualSpacing/>
        <w:jc w:val="both"/>
        <w:rPr>
          <w:rFonts w:eastAsia="Times New Roman" w:cs="Times New Roman"/>
          <w:szCs w:val="24"/>
          <w:lang w:eastAsia="lt-LT"/>
        </w:rPr>
      </w:pPr>
    </w:p>
    <w:p w14:paraId="3CD5DF84" w14:textId="73EC961B" w:rsidR="00532815" w:rsidRDefault="00532815" w:rsidP="00563200">
      <w:pPr>
        <w:tabs>
          <w:tab w:val="left" w:pos="851"/>
        </w:tabs>
        <w:spacing w:line="336" w:lineRule="auto"/>
        <w:contextualSpacing/>
        <w:jc w:val="both"/>
        <w:rPr>
          <w:rFonts w:eastAsia="Times New Roman" w:cs="Times New Roman"/>
          <w:szCs w:val="24"/>
          <w:lang w:eastAsia="lt-LT"/>
        </w:rPr>
      </w:pPr>
    </w:p>
    <w:p w14:paraId="56477867" w14:textId="03B653DB" w:rsidR="00532815" w:rsidRDefault="00532815" w:rsidP="00563200">
      <w:pPr>
        <w:tabs>
          <w:tab w:val="left" w:pos="851"/>
        </w:tabs>
        <w:spacing w:line="336" w:lineRule="auto"/>
        <w:contextualSpacing/>
        <w:jc w:val="both"/>
        <w:rPr>
          <w:rFonts w:eastAsia="Times New Roman" w:cs="Times New Roman"/>
          <w:szCs w:val="24"/>
          <w:lang w:eastAsia="lt-LT"/>
        </w:rPr>
      </w:pPr>
    </w:p>
    <w:p w14:paraId="46D0A602" w14:textId="4D7D7C6F" w:rsidR="00532815" w:rsidRDefault="00532815" w:rsidP="00563200">
      <w:pPr>
        <w:tabs>
          <w:tab w:val="left" w:pos="851"/>
        </w:tabs>
        <w:spacing w:line="336" w:lineRule="auto"/>
        <w:contextualSpacing/>
        <w:jc w:val="both"/>
        <w:rPr>
          <w:rFonts w:eastAsia="Times New Roman" w:cs="Times New Roman"/>
          <w:szCs w:val="24"/>
          <w:lang w:eastAsia="lt-LT"/>
        </w:rPr>
      </w:pPr>
    </w:p>
    <w:p w14:paraId="621B82C4" w14:textId="54748E3D" w:rsidR="00532815" w:rsidRDefault="00532815" w:rsidP="00563200">
      <w:pPr>
        <w:tabs>
          <w:tab w:val="left" w:pos="851"/>
        </w:tabs>
        <w:spacing w:line="336" w:lineRule="auto"/>
        <w:contextualSpacing/>
        <w:jc w:val="both"/>
        <w:rPr>
          <w:rFonts w:eastAsia="Times New Roman" w:cs="Times New Roman"/>
          <w:szCs w:val="24"/>
          <w:lang w:eastAsia="lt-LT"/>
        </w:rPr>
      </w:pPr>
    </w:p>
    <w:p w14:paraId="1681AFBA" w14:textId="77777777" w:rsidR="00532815" w:rsidRPr="00512F62" w:rsidRDefault="00532815" w:rsidP="00563200">
      <w:pPr>
        <w:tabs>
          <w:tab w:val="left" w:pos="851"/>
        </w:tabs>
        <w:spacing w:line="336" w:lineRule="auto"/>
        <w:contextualSpacing/>
        <w:jc w:val="both"/>
        <w:rPr>
          <w:rFonts w:eastAsia="Times New Roman" w:cs="Times New Roman"/>
          <w:szCs w:val="24"/>
          <w:lang w:eastAsia="lt-LT"/>
        </w:rPr>
      </w:pPr>
    </w:p>
    <w:p w14:paraId="1D67E504" w14:textId="77777777" w:rsidR="00ED072F" w:rsidRPr="00512F62" w:rsidRDefault="00ED072F" w:rsidP="00563200">
      <w:pPr>
        <w:tabs>
          <w:tab w:val="left" w:pos="851"/>
        </w:tabs>
        <w:spacing w:line="336" w:lineRule="auto"/>
        <w:contextualSpacing/>
        <w:jc w:val="both"/>
        <w:rPr>
          <w:rFonts w:eastAsia="Times New Roman" w:cs="Times New Roman"/>
          <w:szCs w:val="24"/>
          <w:lang w:eastAsia="lt-LT"/>
        </w:rPr>
      </w:pPr>
    </w:p>
    <w:p w14:paraId="35C98978" w14:textId="77777777" w:rsidR="00563200" w:rsidRPr="00512F62" w:rsidRDefault="00563200" w:rsidP="00563200">
      <w:pPr>
        <w:tabs>
          <w:tab w:val="left" w:pos="851"/>
        </w:tabs>
        <w:spacing w:line="360" w:lineRule="auto"/>
        <w:contextualSpacing/>
        <w:jc w:val="both"/>
        <w:rPr>
          <w:rFonts w:eastAsia="Times New Roman" w:cs="Times New Roman"/>
          <w:color w:val="000000"/>
          <w:szCs w:val="24"/>
        </w:rPr>
      </w:pPr>
    </w:p>
    <w:p w14:paraId="0FAB9138" w14:textId="77777777" w:rsidR="00504EAF" w:rsidRPr="00512F62" w:rsidRDefault="00563200" w:rsidP="00563200">
      <w:pPr>
        <w:tabs>
          <w:tab w:val="left" w:pos="851"/>
        </w:tabs>
        <w:spacing w:line="360" w:lineRule="auto"/>
        <w:contextualSpacing/>
        <w:jc w:val="both"/>
        <w:rPr>
          <w:rFonts w:cs="Times New Roman"/>
          <w:szCs w:val="24"/>
        </w:rPr>
      </w:pPr>
      <w:r w:rsidRPr="00512F62">
        <w:rPr>
          <w:rFonts w:eastAsia="Times New Roman" w:cs="Times New Roman"/>
          <w:color w:val="000000"/>
          <w:szCs w:val="24"/>
        </w:rPr>
        <w:t xml:space="preserve">Julija Antanaitė, tel. (8 706) 62 755, el. p. </w:t>
      </w:r>
      <w:hyperlink r:id="rId9" w:history="1">
        <w:r w:rsidRPr="00512F62">
          <w:rPr>
            <w:rFonts w:eastAsia="Times New Roman" w:cs="Times New Roman"/>
            <w:color w:val="0000FF"/>
            <w:szCs w:val="24"/>
            <w:u w:val="single"/>
          </w:rPr>
          <w:t>julija.antanaite@stt.lt</w:t>
        </w:r>
      </w:hyperlink>
      <w:bookmarkEnd w:id="0"/>
      <w:bookmarkEnd w:id="1"/>
    </w:p>
    <w:sectPr w:rsidR="00504EAF" w:rsidRPr="00512F62" w:rsidSect="00440AB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EB094" w14:textId="77777777" w:rsidR="00101B02" w:rsidRDefault="00101B02" w:rsidP="00563200">
      <w:pPr>
        <w:spacing w:line="240" w:lineRule="auto"/>
      </w:pPr>
      <w:r>
        <w:separator/>
      </w:r>
    </w:p>
  </w:endnote>
  <w:endnote w:type="continuationSeparator" w:id="0">
    <w:p w14:paraId="7B019949" w14:textId="77777777" w:rsidR="00101B02" w:rsidRDefault="00101B02" w:rsidP="00563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3883F" w14:textId="77777777" w:rsidR="001F3E37" w:rsidRDefault="005632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2EC47C" w14:textId="77777777" w:rsidR="001F3E37" w:rsidRDefault="00430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83B00" w14:textId="77777777" w:rsidR="001F3E37" w:rsidRDefault="00430A3D">
    <w:pPr>
      <w:pStyle w:val="Footer"/>
      <w:tabs>
        <w:tab w:val="clear" w:pos="4153"/>
        <w:tab w:val="clear" w:pos="8306"/>
      </w:tabs>
      <w:rPr>
        <w:sz w:val="18"/>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3971"/>
      <w:gridCol w:w="3065"/>
      <w:gridCol w:w="2602"/>
    </w:tblGrid>
    <w:tr w:rsidR="001F3E37" w:rsidRPr="009B0AD6" w14:paraId="60B3D76A" w14:textId="77777777" w:rsidTr="00E55584">
      <w:trPr>
        <w:cantSplit/>
        <w:trHeight w:hRule="exact" w:val="227"/>
      </w:trPr>
      <w:tc>
        <w:tcPr>
          <w:tcW w:w="3971" w:type="dxa"/>
          <w:tcBorders>
            <w:top w:val="single" w:sz="4" w:space="0" w:color="auto"/>
          </w:tcBorders>
          <w:vAlign w:val="bottom"/>
        </w:tcPr>
        <w:p w14:paraId="7B6F5370" w14:textId="77777777" w:rsidR="001F3E37" w:rsidRPr="009B0AD6" w:rsidRDefault="00563200" w:rsidP="00621DEF">
          <w:pPr>
            <w:pStyle w:val="Footer"/>
            <w:rPr>
              <w:rFonts w:ascii="Times New Roman" w:hAnsi="Times New Roman"/>
              <w:sz w:val="18"/>
            </w:rPr>
          </w:pPr>
          <w:r>
            <w:rPr>
              <w:noProof/>
              <w:lang w:val="lt-LT"/>
            </w:rPr>
            <mc:AlternateContent>
              <mc:Choice Requires="wps">
                <w:drawing>
                  <wp:anchor distT="4294967290" distB="4294967290" distL="114300" distR="114300" simplePos="0" relativeHeight="251658240" behindDoc="0" locked="0" layoutInCell="1" allowOverlap="1" wp14:anchorId="5C527FC0" wp14:editId="63FBD252">
                    <wp:simplePos x="0" y="0"/>
                    <wp:positionH relativeFrom="column">
                      <wp:posOffset>-57150</wp:posOffset>
                    </wp:positionH>
                    <wp:positionV relativeFrom="page">
                      <wp:posOffset>9925049</wp:posOffset>
                    </wp:positionV>
                    <wp:extent cx="61264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FD93890" id="Straight Connector 2" o:spid="_x0000_s1026" style="position:absolute;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Gs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XCWZrN8Di2kgy8hxZBorPOfue5QMEoshQqykYKcnp0P&#10;REgxhIRjpTdCyth6qVBf4sU0m8YEp6VgwRnCnD3sK2nRiYThiV+sCjyPYVYfFYtgLSdsfbM9EfJq&#10;w+VSBTwoBejcrOt0/FhMFuv5ep6P8my2HuWTuh592lT5aLZJP07rD3VV1enPQC3Ni1YwxlVgN0xq&#10;mv/dJNzezHXG7rN6lyF5ix71ArLDP5KOvQztuw7CXrPL1g49huGMwbeHFKb/cQ/243Nf/QI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AoywGsHAIAADYEAAAOAAAAAAAAAAAAAAAAAC4CAABkcnMvZTJvRG9jLnhtbFBLAQIt&#10;ABQABgAIAAAAIQCB0SY+3gAAAAwBAAAPAAAAAAAAAAAAAAAAAHYEAABkcnMvZG93bnJldi54bWxQ&#10;SwUGAAAAAAQABADzAAAAgQUAAAAA&#10;">
                    <w10:wrap anchory="page"/>
                  </v:line>
                </w:pict>
              </mc:Fallback>
            </mc:AlternateContent>
          </w:r>
          <w:r>
            <w:rPr>
              <w:rFonts w:ascii="Times New Roman" w:hAnsi="Times New Roman"/>
              <w:sz w:val="18"/>
              <w:lang w:val="lt-LT"/>
            </w:rPr>
            <w:t>B</w:t>
          </w:r>
          <w:r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78E0D98F" w14:textId="77777777" w:rsidR="001F3E37" w:rsidRPr="009B0AD6" w:rsidRDefault="00563200" w:rsidP="00621DEF">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6507361D" w14:textId="77777777" w:rsidR="001F3E37" w:rsidRPr="009B0AD6" w:rsidRDefault="00563200" w:rsidP="00621DEF">
          <w:pPr>
            <w:pStyle w:val="Footer"/>
            <w:rPr>
              <w:rFonts w:ascii="Times New Roman" w:hAnsi="Times New Roman"/>
              <w:sz w:val="18"/>
            </w:rPr>
          </w:pPr>
          <w:r w:rsidRPr="009B0AD6">
            <w:rPr>
              <w:rFonts w:ascii="Times New Roman" w:hAnsi="Times New Roman"/>
              <w:sz w:val="18"/>
              <w:lang w:val="lt-LT"/>
            </w:rPr>
            <w:t>Duomenys kaupiami ir saugomi</w:t>
          </w:r>
        </w:p>
      </w:tc>
    </w:tr>
    <w:tr w:rsidR="001F3E37" w:rsidRPr="009B0AD6" w14:paraId="170A01A2" w14:textId="77777777" w:rsidTr="00717012">
      <w:tc>
        <w:tcPr>
          <w:tcW w:w="3971" w:type="dxa"/>
        </w:tcPr>
        <w:p w14:paraId="6E5BF863" w14:textId="77777777" w:rsidR="001F3E37" w:rsidRPr="002D09E0" w:rsidRDefault="00563200"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5954E9F8" w14:textId="77777777" w:rsidR="001F3E37" w:rsidRPr="00BA3392" w:rsidRDefault="00563200" w:rsidP="00621DEF">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29A0C09D" w14:textId="77777777" w:rsidR="001F3E37" w:rsidRPr="009B0AD6" w:rsidRDefault="00563200" w:rsidP="00621DEF">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1F3E37" w:rsidRPr="009B0AD6" w14:paraId="42D474B4" w14:textId="77777777" w:rsidTr="00717012">
      <w:tc>
        <w:tcPr>
          <w:tcW w:w="3971" w:type="dxa"/>
        </w:tcPr>
        <w:p w14:paraId="75ED58F9" w14:textId="77777777" w:rsidR="001F3E37" w:rsidRPr="009B0AD6" w:rsidRDefault="00430A3D" w:rsidP="00621DEF">
          <w:pPr>
            <w:pStyle w:val="Footer"/>
            <w:rPr>
              <w:rFonts w:ascii="Times New Roman" w:hAnsi="Times New Roman"/>
              <w:sz w:val="18"/>
              <w:lang w:val="lt-LT"/>
            </w:rPr>
          </w:pPr>
        </w:p>
      </w:tc>
      <w:tc>
        <w:tcPr>
          <w:tcW w:w="3065" w:type="dxa"/>
        </w:tcPr>
        <w:p w14:paraId="2D7B4058" w14:textId="77777777" w:rsidR="001F3E37" w:rsidRPr="00BA3392" w:rsidRDefault="00430A3D" w:rsidP="00621DEF">
          <w:pPr>
            <w:pStyle w:val="Footer"/>
            <w:rPr>
              <w:rFonts w:ascii="Times New Roman" w:hAnsi="Times New Roman"/>
              <w:sz w:val="18"/>
              <w:lang w:val="lt-LT"/>
            </w:rPr>
          </w:pPr>
        </w:p>
      </w:tc>
      <w:tc>
        <w:tcPr>
          <w:tcW w:w="2602" w:type="dxa"/>
        </w:tcPr>
        <w:p w14:paraId="6C603B6B" w14:textId="77777777" w:rsidR="001F3E37" w:rsidRPr="009B0AD6" w:rsidRDefault="00563200" w:rsidP="00621DEF">
          <w:pPr>
            <w:pStyle w:val="Footer"/>
            <w:rPr>
              <w:rFonts w:ascii="Times New Roman" w:hAnsi="Times New Roman"/>
              <w:sz w:val="18"/>
              <w:lang w:val="lt-LT"/>
            </w:rPr>
          </w:pPr>
          <w:r w:rsidRPr="009B0AD6">
            <w:rPr>
              <w:rFonts w:ascii="Times New Roman" w:hAnsi="Times New Roman"/>
              <w:sz w:val="18"/>
              <w:lang w:val="lt-LT"/>
            </w:rPr>
            <w:t>Kodas 188659948</w:t>
          </w:r>
        </w:p>
      </w:tc>
    </w:tr>
  </w:tbl>
  <w:p w14:paraId="6B8DE88B" w14:textId="77777777" w:rsidR="001F3E37" w:rsidRPr="00DC6F65" w:rsidRDefault="00430A3D" w:rsidP="00621DEF">
    <w:pPr>
      <w:pStyle w:val="Footer"/>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09AB7" w14:textId="77777777" w:rsidR="00101B02" w:rsidRDefault="00101B02" w:rsidP="00563200">
      <w:pPr>
        <w:spacing w:line="240" w:lineRule="auto"/>
      </w:pPr>
      <w:r>
        <w:separator/>
      </w:r>
    </w:p>
  </w:footnote>
  <w:footnote w:type="continuationSeparator" w:id="0">
    <w:p w14:paraId="51AD8200" w14:textId="77777777" w:rsidR="00101B02" w:rsidRDefault="00101B02" w:rsidP="00563200">
      <w:pPr>
        <w:spacing w:line="240" w:lineRule="auto"/>
      </w:pPr>
      <w:r>
        <w:continuationSeparator/>
      </w:r>
    </w:p>
  </w:footnote>
  <w:footnote w:id="1">
    <w:p w14:paraId="4EC0915E" w14:textId="77777777" w:rsidR="00B6732A" w:rsidRPr="006B4A3A" w:rsidRDefault="00B6732A" w:rsidP="00B6732A">
      <w:pPr>
        <w:tabs>
          <w:tab w:val="left" w:pos="851"/>
        </w:tabs>
        <w:spacing w:line="240" w:lineRule="auto"/>
        <w:contextualSpacing/>
        <w:jc w:val="both"/>
        <w:rPr>
          <w:rFonts w:eastAsia="Times New Roman" w:cs="Times New Roman"/>
          <w:sz w:val="20"/>
        </w:rPr>
      </w:pPr>
      <w:r w:rsidRPr="006B4A3A">
        <w:rPr>
          <w:rStyle w:val="FootnoteReference"/>
          <w:sz w:val="20"/>
        </w:rPr>
        <w:footnoteRef/>
      </w:r>
      <w:r>
        <w:rPr>
          <w:rFonts w:cs="Times New Roman"/>
          <w:sz w:val="20"/>
        </w:rPr>
        <w:t xml:space="preserve"> </w:t>
      </w:r>
      <w:r w:rsidRPr="006B4A3A">
        <w:rPr>
          <w:rFonts w:cs="Times New Roman"/>
          <w:sz w:val="20"/>
        </w:rPr>
        <w:t>Įsigalioj</w:t>
      </w:r>
      <w:r w:rsidR="00CD0F82">
        <w:rPr>
          <w:rFonts w:cs="Times New Roman"/>
          <w:sz w:val="20"/>
        </w:rPr>
        <w:t>o</w:t>
      </w:r>
      <w:r w:rsidRPr="006B4A3A">
        <w:rPr>
          <w:rFonts w:cs="Times New Roman"/>
          <w:sz w:val="20"/>
        </w:rPr>
        <w:t xml:space="preserve"> 2019-07-01. </w:t>
      </w:r>
    </w:p>
    <w:p w14:paraId="4C95AD79" w14:textId="77777777" w:rsidR="00B6732A" w:rsidRDefault="00B6732A" w:rsidP="00B6732A">
      <w:pPr>
        <w:pStyle w:val="FootnoteText"/>
      </w:pPr>
    </w:p>
  </w:footnote>
  <w:footnote w:id="2">
    <w:p w14:paraId="2DD4C745" w14:textId="407E82A2" w:rsidR="00ED5BC4" w:rsidRPr="00FA5C59" w:rsidRDefault="00ED5BC4" w:rsidP="00ED5BC4">
      <w:pPr>
        <w:pStyle w:val="FootnoteText"/>
        <w:jc w:val="both"/>
      </w:pPr>
      <w:r w:rsidRPr="00FA5C59">
        <w:rPr>
          <w:rStyle w:val="FootnoteReference"/>
        </w:rPr>
        <w:footnoteRef/>
      </w:r>
      <w:r w:rsidRPr="00FA5C59">
        <w:t xml:space="preserve"> Vilniaus apygardos teismo nutartis civilinėje byloje Nr.</w:t>
      </w:r>
      <w:r w:rsidRPr="00FA5C59">
        <w:rPr>
          <w:rFonts w:cs="Arial"/>
        </w:rPr>
        <w:t>2S-1481-232/2018. Prieiga internete: https://eteismai.lt/byla/202534690486561/2S-1481-232/2018?word=turto vertintojas</w:t>
      </w:r>
      <w:r w:rsidR="00FA5C59">
        <w:rPr>
          <w:rFonts w:cs="Arial"/>
        </w:rPr>
        <w:t xml:space="preserve"> </w:t>
      </w:r>
      <w:r w:rsidRPr="00FA5C59">
        <w:rPr>
          <w:rFonts w:cs="Arial"/>
        </w:rPr>
        <w:t xml:space="preserve">  </w:t>
      </w:r>
    </w:p>
  </w:footnote>
  <w:footnote w:id="3">
    <w:p w14:paraId="252CCB22" w14:textId="77777777" w:rsidR="005A572E" w:rsidRPr="00FA5C59" w:rsidRDefault="00713AA1" w:rsidP="00857A13">
      <w:pPr>
        <w:pStyle w:val="FootnoteText"/>
        <w:contextualSpacing/>
        <w:jc w:val="both"/>
      </w:pPr>
      <w:r w:rsidRPr="00FA5C59">
        <w:rPr>
          <w:rStyle w:val="FootnoteReference"/>
        </w:rPr>
        <w:footnoteRef/>
      </w:r>
      <w:r w:rsidRPr="00FA5C59">
        <w:t xml:space="preserve"> 18. Priežiūros įstaiga atlieka egzamino parengiamuosius veiksmus ir sudaro sąlygas vykdyti egzaminą (registruoja atvykusius į egzaminą dalyvius, organizuoja egzaminų vykdymą, skiria egzamino stebėtoją (-us), tvarko ir saugo egzaminų ir Egzamino komisijos veiklos dokumentus, suteikia technines ir ūkines priemones, reikalingas egzaminui ir Egzamino komisijos veiklai vykdyti, atlieka kitus su egzaminų organizavimu susijusius veiksmus).</w:t>
      </w:r>
    </w:p>
  </w:footnote>
  <w:footnote w:id="4">
    <w:p w14:paraId="42799877" w14:textId="77777777" w:rsidR="00857A13" w:rsidRDefault="00857A13" w:rsidP="00857A13">
      <w:pPr>
        <w:pStyle w:val="FootnoteText"/>
        <w:jc w:val="both"/>
      </w:pPr>
      <w:r w:rsidRPr="00FA5C59">
        <w:rPr>
          <w:rStyle w:val="FootnoteReference"/>
        </w:rPr>
        <w:footnoteRef/>
      </w:r>
      <w:r w:rsidRPr="00FA5C59">
        <w:t xml:space="preserve"> 26. Dalyviams rengiant jiems pateiktų egzamino užduočių atsakymus (laikant egzaminą), egzamino patalpoje privalo būti nors vienas Egzamino komisijos narys ir nors vienas egzamino stebėtojas.</w:t>
      </w:r>
    </w:p>
  </w:footnote>
  <w:footnote w:id="5">
    <w:p w14:paraId="4DDAE126" w14:textId="77777777" w:rsidR="00C91A81" w:rsidRPr="00FA5C59" w:rsidRDefault="00C91A81" w:rsidP="00C91A81">
      <w:pPr>
        <w:pStyle w:val="FootnoteText"/>
        <w:jc w:val="both"/>
      </w:pPr>
      <w:r w:rsidRPr="00FA5C59">
        <w:rPr>
          <w:rStyle w:val="FootnoteReference"/>
        </w:rPr>
        <w:footnoteRef/>
      </w:r>
      <w:r w:rsidRPr="00FA5C59">
        <w:t xml:space="preserve"> Viešojoje erdvėje galima rasti šiuos duomenis apie 2018-2019 m. organizuotus vertintojams skirtus mokymus:</w:t>
      </w:r>
    </w:p>
    <w:p w14:paraId="60FC596D" w14:textId="77777777" w:rsidR="00C91A81" w:rsidRPr="00FA5C59" w:rsidRDefault="00C91A81" w:rsidP="00C91A81">
      <w:pPr>
        <w:pStyle w:val="FootnoteText"/>
        <w:jc w:val="both"/>
        <w:rPr>
          <w:rStyle w:val="Hyperlink"/>
        </w:rPr>
      </w:pPr>
      <w:r w:rsidRPr="00FA5C59">
        <w:t>- Lietuvos turto vertintojų asociacija (toliau – LTVA)</w:t>
      </w:r>
      <w:r w:rsidRPr="00FA5C59">
        <w:rPr>
          <w:rStyle w:val="FootnoteReference"/>
        </w:rPr>
        <w:footnoteRef/>
      </w:r>
      <w:r w:rsidRPr="00FA5C59">
        <w:t xml:space="preserve"> 2019 m. organizavo 4 akademinių valandų seminarą „Turto ir verslo vertinimo aktualijos“. Praėjusiais metais tokių seminarų – tuo pačiu pavadinimu, bet skirtingos trukmės – buvo keturi. Prieiga internete: </w:t>
      </w:r>
      <w:hyperlink r:id="rId1" w:history="1">
        <w:r w:rsidRPr="00FA5C59">
          <w:rPr>
            <w:rStyle w:val="Hyperlink"/>
          </w:rPr>
          <w:t>http://www.ltva.lt/seminarai/</w:t>
        </w:r>
      </w:hyperlink>
      <w:r w:rsidRPr="00FA5C59">
        <w:rPr>
          <w:rStyle w:val="Hyperlink"/>
        </w:rPr>
        <w:t>;</w:t>
      </w:r>
    </w:p>
    <w:p w14:paraId="4BFF96A5" w14:textId="77777777" w:rsidR="00C91A81" w:rsidRPr="00FA5C59" w:rsidRDefault="00C91A81" w:rsidP="00C91A81">
      <w:pPr>
        <w:pStyle w:val="FootnoteText"/>
        <w:jc w:val="both"/>
      </w:pPr>
      <w:r w:rsidRPr="00FA5C59">
        <w:t xml:space="preserve">- Lietuvos turtą ir verslą vertinančių įmonių asociacija 2018 organizavo 7 akademinių valandų seminarą “Nekilnojamojo turto rinkos ir turto vertinimo tendencijos bei perspektyvos besikeičiančiame pasaulyje”, 2017 m. – 6 ak. val. seminarą “Nekilnojamojo turto rinkos ir teisinės aktualijos turto vertintojams”. Prieiga internete: </w:t>
      </w:r>
      <w:hyperlink r:id="rId2" w:history="1">
        <w:r w:rsidRPr="00FA5C59">
          <w:rPr>
            <w:rStyle w:val="Hyperlink"/>
          </w:rPr>
          <w:t>http://www.vertintojai.lt/</w:t>
        </w:r>
      </w:hyperlink>
      <w:r w:rsidRPr="00FA5C59">
        <w:rPr>
          <w:rStyle w:val="Hyperlink"/>
        </w:rPr>
        <w:t>;</w:t>
      </w:r>
    </w:p>
    <w:p w14:paraId="27430EEF" w14:textId="77777777" w:rsidR="00C91A81" w:rsidRPr="00FA5C59" w:rsidRDefault="00C91A81" w:rsidP="00C91A81">
      <w:pPr>
        <w:tabs>
          <w:tab w:val="left" w:pos="851"/>
        </w:tabs>
        <w:spacing w:line="240" w:lineRule="auto"/>
        <w:contextualSpacing/>
        <w:jc w:val="both"/>
        <w:rPr>
          <w:rFonts w:eastAsia="Times New Roman" w:cs="Times New Roman"/>
          <w:sz w:val="20"/>
        </w:rPr>
      </w:pPr>
      <w:r w:rsidRPr="00FA5C59">
        <w:rPr>
          <w:rFonts w:eastAsia="Times New Roman" w:cs="Times New Roman"/>
          <w:sz w:val="20"/>
        </w:rPr>
        <w:t>- Lietuvos vertintojų rūmų interneto svetainėje nurodyta, kad 2019 m. organizuoti du seminarai:</w:t>
      </w:r>
      <w:r w:rsidRPr="00FA5C59">
        <w:rPr>
          <w:rFonts w:cs="Arial"/>
          <w:caps/>
          <w:sz w:val="20"/>
        </w:rPr>
        <w:t xml:space="preserve"> 6 </w:t>
      </w:r>
      <w:r w:rsidRPr="00FA5C59">
        <w:rPr>
          <w:rFonts w:cs="Arial"/>
          <w:sz w:val="20"/>
        </w:rPr>
        <w:t xml:space="preserve">ak. val. ,,Miškų vertinimas. Teorija ir praktika“, </w:t>
      </w:r>
      <w:r w:rsidRPr="00FA5C59">
        <w:rPr>
          <w:rFonts w:cs="Times New Roman"/>
          <w:sz w:val="20"/>
        </w:rPr>
        <w:t>4 akademinių valandų seminarą „Lietuvos viešbučių rinka ir vertinimas“, 2018 m. – 6 akad. valandų seminarą „Naudotų transporto priemonių muitinis įvertinimas“ ir 8 ak. val. seminarą „Vertinimo veikla ir aktualios naujienos, kurias verta žinoti“.</w:t>
      </w:r>
      <w:r w:rsidRPr="00FA5C59">
        <w:rPr>
          <w:sz w:val="20"/>
        </w:rPr>
        <w:t xml:space="preserve"> Prieiga internete: </w:t>
      </w:r>
      <w:hyperlink r:id="rId3" w:history="1">
        <w:r w:rsidRPr="00FA5C59">
          <w:rPr>
            <w:rStyle w:val="Hyperlink"/>
            <w:sz w:val="20"/>
          </w:rPr>
          <w:t>https://lvr.lt/naujienos/</w:t>
        </w:r>
      </w:hyperlink>
    </w:p>
  </w:footnote>
  <w:footnote w:id="6">
    <w:p w14:paraId="52A0BC3E" w14:textId="77777777" w:rsidR="00BB1BE8" w:rsidRPr="00FA5C59" w:rsidRDefault="00BB1BE8" w:rsidP="00BB1BE8">
      <w:pPr>
        <w:pStyle w:val="FootnoteText"/>
        <w:contextualSpacing/>
      </w:pPr>
      <w:r w:rsidRPr="00FA5C59">
        <w:rPr>
          <w:rStyle w:val="FootnoteReference"/>
        </w:rPr>
        <w:footnoteRef/>
      </w:r>
      <w:r w:rsidRPr="00FA5C59">
        <w:t xml:space="preserve"> Prieiga internete: </w:t>
      </w:r>
      <w:hyperlink r:id="rId4" w:history="1">
        <w:r w:rsidRPr="00FA5C59">
          <w:rPr>
            <w:rStyle w:val="Hyperlink"/>
          </w:rPr>
          <w:t>http://www.avnt.lt/nuorodos/vertinimas/</w:t>
        </w:r>
      </w:hyperlink>
      <w:r w:rsidRPr="00FA5C59">
        <w:t xml:space="preserve"> </w:t>
      </w:r>
    </w:p>
  </w:footnote>
  <w:footnote w:id="7">
    <w:p w14:paraId="7B62730E" w14:textId="77777777" w:rsidR="00BB1BE8" w:rsidRPr="00FA5C59" w:rsidRDefault="00BB1BE8" w:rsidP="00BB1BE8">
      <w:pPr>
        <w:tabs>
          <w:tab w:val="left" w:pos="851"/>
        </w:tabs>
        <w:spacing w:line="240" w:lineRule="auto"/>
        <w:contextualSpacing/>
        <w:jc w:val="both"/>
        <w:rPr>
          <w:rFonts w:eastAsia="Times New Roman" w:cs="Times New Roman"/>
          <w:sz w:val="20"/>
        </w:rPr>
      </w:pPr>
      <w:r w:rsidRPr="00FA5C59">
        <w:rPr>
          <w:rStyle w:val="FootnoteReference"/>
          <w:sz w:val="20"/>
        </w:rPr>
        <w:footnoteRef/>
      </w:r>
      <w:r w:rsidRPr="00FA5C59">
        <w:rPr>
          <w:sz w:val="20"/>
        </w:rPr>
        <w:t xml:space="preserve"> </w:t>
      </w:r>
      <w:r w:rsidRPr="00FA5C59">
        <w:rPr>
          <w:rFonts w:eastAsia="Times New Roman" w:cs="Times New Roman"/>
          <w:sz w:val="20"/>
        </w:rPr>
        <w:t>Priežiūros tarnybos interneto svetainės duomenimis, 2019 m. ji organizavo vieną 5 akademinių valandų trukmės seminarą „Lyginamojo metodo taikymas“. 2018 m. Priežiūros tarnyba organizavo 5 seminarus: „Kilnojamojo turto vertinimo aktualijos“ (6 ak. val.); „Ką turi žinoti turto vertintojas apie masinį nekilnojamojo turto vertinimą“ (6 ak. val.);</w:t>
      </w:r>
      <w:r w:rsidRPr="00FA5C59">
        <w:rPr>
          <w:sz w:val="20"/>
        </w:rPr>
        <w:t xml:space="preserve"> </w:t>
      </w:r>
      <w:r w:rsidRPr="00FA5C59">
        <w:rPr>
          <w:rFonts w:eastAsia="Times New Roman" w:cs="Times New Roman"/>
          <w:sz w:val="20"/>
        </w:rPr>
        <w:t>„Turto vertinimo teritoriniai aspektai“ (5 ak. val.); „Biologinio turto vertinimas“ (6 ak. val.); „Esminės vertintojo pareigos – ataskaitoje pagrįsti vertę – įgyvendinimas“ (trukmė nenurodyta).</w:t>
      </w:r>
      <w:r w:rsidRPr="00FA5C59">
        <w:rPr>
          <w:sz w:val="20"/>
        </w:rPr>
        <w:t xml:space="preserve"> Prieiga internete: </w:t>
      </w:r>
      <w:hyperlink r:id="rId5" w:history="1">
        <w:r w:rsidRPr="00FA5C59">
          <w:rPr>
            <w:rStyle w:val="Hyperlink"/>
            <w:rFonts w:eastAsia="Times New Roman"/>
            <w:sz w:val="20"/>
          </w:rPr>
          <w:t>http://www.avnt.lt/veiklos-sritys/vertinimas/mokymai/kiti-kvalifikacijos-kelimo-seminarai/</w:t>
        </w:r>
      </w:hyperlink>
    </w:p>
  </w:footnote>
  <w:footnote w:id="8">
    <w:p w14:paraId="0AE4ECCE" w14:textId="77777777" w:rsidR="0073250B" w:rsidRPr="00FA5C59" w:rsidRDefault="0073250B" w:rsidP="0073250B">
      <w:pPr>
        <w:pStyle w:val="FootnoteText"/>
        <w:jc w:val="both"/>
      </w:pPr>
      <w:r w:rsidRPr="00FA5C59">
        <w:rPr>
          <w:rStyle w:val="FootnoteReference"/>
        </w:rPr>
        <w:footnoteRef/>
      </w:r>
      <w:r w:rsidRPr="00FA5C59">
        <w:t xml:space="preserve"> 3. Turto arba verslo vertintojo kvalifikacijos pažymėjimo galiojimas </w:t>
      </w:r>
      <w:r w:rsidRPr="00FA5C59">
        <w:rPr>
          <w:b/>
          <w:bCs/>
        </w:rPr>
        <w:t>sustabdomas</w:t>
      </w:r>
      <w:r w:rsidRPr="00FA5C59">
        <w:t>:</w:t>
      </w:r>
    </w:p>
    <w:p w14:paraId="0B5D531C" w14:textId="77777777" w:rsidR="0073250B" w:rsidRPr="00FA5C59" w:rsidRDefault="0073250B" w:rsidP="0073250B">
      <w:pPr>
        <w:pStyle w:val="FootnoteText"/>
        <w:jc w:val="both"/>
      </w:pPr>
      <w:r w:rsidRPr="00FA5C59">
        <w:t>1) kai Turto arba verslo vertintojų garbės teismas priima sprendimą skirti šio įstatymo 29 straipsnio 4 dalies 3 punkte nurodytą drausminę nuobaudą, – pasibaigus šio sprendimo apskundimo terminui, jeigu Turto arba verslo vertintojų garbės teismo sprendimas nebuvo apskųstas, arba įsiteisėjus teismo sprendimui, kuriuo paliekamas galioti Turto arba verslo vertintojų garbės teismo priimtas šio įstatymo 29 straipsnio 4 dalies 3 punkte nurodytas sprendimas;</w:t>
      </w:r>
    </w:p>
    <w:p w14:paraId="164A1C76" w14:textId="77777777" w:rsidR="0073250B" w:rsidRPr="00FA5C59" w:rsidRDefault="0073250B" w:rsidP="0073250B">
      <w:pPr>
        <w:pStyle w:val="FootnoteText"/>
        <w:jc w:val="both"/>
      </w:pPr>
      <w:r w:rsidRPr="00FA5C59">
        <w:t xml:space="preserve">2) jeigu turto arba verslo vertintojas, gavęs (registruotu laišku) rašytinį Priežiūros įstaigos paklausimą, be šio įstatymo 9 straipsnio 14 dalyje nurodytų svarbių priežasčių atsisako teikti arba per nustatytą terminą nepateikia paaiškinimų, susijusių su turto arba verslo vertintojo atliktais turto arba verslo vertinimais; </w:t>
      </w:r>
    </w:p>
    <w:p w14:paraId="343292B1" w14:textId="77777777" w:rsidR="0073250B" w:rsidRPr="00FA5C59" w:rsidRDefault="0073250B" w:rsidP="0073250B">
      <w:pPr>
        <w:pStyle w:val="FootnoteText"/>
        <w:jc w:val="both"/>
      </w:pPr>
      <w:r w:rsidRPr="00FA5C59">
        <w:t>3) jeigu, pasibaigus kalendoriniams metams, Turto arba verslo vertintojo kvalifikacijos pažymėjimo išdavimo ir galiojimo taisyklėse nustatyta tvarka turto arba verslo vertintojas per tris mėnesius be šio įstatymo 9 straipsnio 14 dalyje nurodytų svarbių priežasčių nepateikia Priežiūros įstaigai paskutinių kalendorinių metų turto ir (arba) verslo vertinimo veiklos ir kvalifikacijos kėlimo ataskaitos;</w:t>
      </w:r>
    </w:p>
    <w:p w14:paraId="13325025" w14:textId="77777777" w:rsidR="0073250B" w:rsidRPr="00FA5C59" w:rsidRDefault="0073250B" w:rsidP="0073250B">
      <w:pPr>
        <w:pStyle w:val="FootnoteText"/>
        <w:jc w:val="both"/>
      </w:pPr>
      <w:r w:rsidRPr="00FA5C59">
        <w:t>4) jeigu turto arba verslo vertintojas per paskutinius trejus metus be šio įstatymo 9 straipsnio 14 dalyje nurodytų svarbių priežasčių nekėlė kvalifikacijos Turto arba verslo vertintojo išsilavinimo, profesinės patirties ir kvalifikacijos kėlimo reikalavimų apraše nurodytose srityse ir, gavęs (registruotu laišku) rašytinį Priežiūros įstaigos paklausimą, nepateikia kvalifikacijos kėlimo įrodymo dokumentų;</w:t>
      </w:r>
    </w:p>
    <w:p w14:paraId="0C3945A1" w14:textId="77777777" w:rsidR="0073250B" w:rsidRPr="00FA5C59" w:rsidRDefault="0073250B" w:rsidP="0073250B">
      <w:pPr>
        <w:pStyle w:val="FootnoteText"/>
        <w:jc w:val="both"/>
      </w:pPr>
      <w:r w:rsidRPr="00FA5C59">
        <w:t>5) kai įsiteisėjusiu teismo nuosprendžiu turto arba verslo vertintojas pripažintas padaręs šio įstatymo 9 straipsnio 13 dalies 1 punkte nurodytus nusikaltimus, išskyrus sunkų ar labai sunkų nusikaltimą nuosavybei, turtinėms teisėms, turtiniams interesams, elektroninių</w:t>
      </w:r>
      <w:r w:rsidRPr="00117D22">
        <w:rPr>
          <w:sz w:val="18"/>
          <w:szCs w:val="18"/>
        </w:rPr>
        <w:t xml:space="preserve"> </w:t>
      </w:r>
      <w:r w:rsidRPr="00FA5C59">
        <w:t>duomenų ar informacinių sistemų saugumui, ekonomikai, verslo tvarkai, finansų sistemai, valstybės tarnybai arba viešiesiems interesams. Šiais atvejais turto arba verslo vertintojo kvalifikacijos pažymėjimo galiojimas sustabdomas, iki turto arba verslo vertintojui išnyks teistumas už šio įstatymo 9 straipsnio 13 dalies 1 punkte nurodytus nusikaltimus, išskyrus sunkų ar labai sunkų nusikaltimą nuosavybei, turtinėms teisėms, turtiniams interesams, elektroninių duomenų ar informacinių sistemų saugumui, ekonomikai, verslo tvarkai, finansų sistemai, valstybės tarnybai arba viešiesiems interesams;</w:t>
      </w:r>
    </w:p>
    <w:p w14:paraId="0C30EF15" w14:textId="77777777" w:rsidR="0073250B" w:rsidRPr="00FA5C59" w:rsidRDefault="0073250B" w:rsidP="0073250B">
      <w:pPr>
        <w:pStyle w:val="FootnoteText"/>
        <w:jc w:val="both"/>
      </w:pPr>
      <w:r w:rsidRPr="00FA5C59">
        <w:t>6) kai turto arba verslo vertintojas pateikia prašymą sustabdyti jo turto arba verslo vertintojo kvalifikacijos pažymėjimo galiojimą.</w:t>
      </w:r>
    </w:p>
  </w:footnote>
  <w:footnote w:id="9">
    <w:p w14:paraId="4C50B7F1" w14:textId="77777777" w:rsidR="00FE594A" w:rsidRPr="00FA5C59" w:rsidRDefault="00FE594A" w:rsidP="00FE594A">
      <w:pPr>
        <w:pStyle w:val="FootnoteText"/>
        <w:jc w:val="both"/>
      </w:pPr>
      <w:r w:rsidRPr="00FA5C59">
        <w:rPr>
          <w:rStyle w:val="FootnoteReference"/>
        </w:rPr>
        <w:footnoteRef/>
      </w:r>
      <w:r w:rsidRPr="00FA5C59">
        <w:t xml:space="preserve"> 11. Turto arba verslo vertintojo kvalifikacijos pažymėjimo galiojimas laikomas sustabdytu, galiojimo sustabdymas laikomas panaikintu arba galiojimas laikomas panaikintu atitinkamai nuo sprendimų dėl turto arba verslo vertintojo kvalifikacijos pažymėjimo galiojimo sustabdymo, galiojimo sustabdymo panaikinimo arba galiojimo panaikinimo paskelbimo Priežiūros įstaigos interneto tinklalapyje arba įsigaliojus Turto arba verslo vertintojų garbės teismo priimtiems sprendimams skirti šio įstatymo 29 straipsnio 4 dalies 3 ir 4 punktuose nurodytas drausmines nuobaudas, arba šio straipsnio 3 dalies 5 punkte ar 6 dalies 6 punkte nustatytais atvejais įsiteisėjus teismo nuosprendžiui, arba šio straipsnio 3 dalies 5 punkte nustatytu atveju išnykus teistumui už šio įstatymo 9 straipsnio 13 dalies 1 punkte nurodytus nusikaltimus, išskyrus sunkų ar labai sunkų nusikaltimą nuosavybei, turtinėms teisėms, turtiniams interesams, elektroninių duomenų ar informacinių sistemų saugumui, ekonomikai, verslo tvarkai, finansų sistemai, valstybės tarnybai arba viešiesiems interesams. Nurodytais atvejais kartu laikomas sustabdytu arba panaikintu visų turto arba verslo vertintojo turimų turto arba verslo vertintojo kvalifikacijos pažymėjimų galiojimas arba jų galiojimo sustabdymo panaikinamas.</w:t>
      </w:r>
    </w:p>
  </w:footnote>
  <w:footnote w:id="10">
    <w:p w14:paraId="4FAD850C" w14:textId="77777777" w:rsidR="007C52DB" w:rsidRPr="00FA5C59" w:rsidRDefault="007C52DB" w:rsidP="007C52DB">
      <w:pPr>
        <w:pStyle w:val="FootnoteText"/>
        <w:jc w:val="both"/>
      </w:pPr>
      <w:r w:rsidRPr="00FA5C59">
        <w:rPr>
          <w:rStyle w:val="FootnoteReference"/>
        </w:rPr>
        <w:footnoteRef/>
      </w:r>
      <w:r w:rsidRPr="00FA5C59">
        <w:t xml:space="preserve"> Prieiga internete: </w:t>
      </w:r>
      <w:hyperlink r:id="rId6" w:history="1">
        <w:r w:rsidRPr="00FA5C59">
          <w:rPr>
            <w:rStyle w:val="Hyperlink"/>
          </w:rPr>
          <w:t>http://www.avnt.lt/veiklos-sritys/vertinimas/vertintoju-ir-vertinimo-imoniu-veiklos-prieziura/nuobaudos/</w:t>
        </w:r>
      </w:hyperlink>
      <w:r w:rsidRPr="00FA5C59">
        <w:rPr>
          <w:rStyle w:val="Hyperlink"/>
        </w:rPr>
        <w:t xml:space="preserve"> </w:t>
      </w:r>
    </w:p>
  </w:footnote>
  <w:footnote w:id="11">
    <w:p w14:paraId="4ED5F7CC" w14:textId="77777777" w:rsidR="00195040" w:rsidRPr="00FA5C59" w:rsidRDefault="00195040" w:rsidP="00CA53C8">
      <w:pPr>
        <w:pStyle w:val="FootnoteText"/>
        <w:contextualSpacing/>
        <w:jc w:val="both"/>
      </w:pPr>
      <w:r w:rsidRPr="00FA5C59">
        <w:rPr>
          <w:rStyle w:val="FootnoteReference"/>
        </w:rPr>
        <w:footnoteRef/>
      </w:r>
      <w:r w:rsidRPr="00FA5C59">
        <w:t xml:space="preserve"> Įstatymo 13 straipsnio 5 dalis. </w:t>
      </w:r>
    </w:p>
  </w:footnote>
  <w:footnote w:id="12">
    <w:p w14:paraId="0190302B" w14:textId="77777777" w:rsidR="009C6EE7" w:rsidRPr="00FA5C59" w:rsidRDefault="009C6EE7" w:rsidP="00CA53C8">
      <w:pPr>
        <w:pStyle w:val="FootnoteText"/>
        <w:contextualSpacing/>
        <w:jc w:val="both"/>
      </w:pPr>
      <w:r w:rsidRPr="00FA5C59">
        <w:rPr>
          <w:rStyle w:val="FootnoteReference"/>
        </w:rPr>
        <w:footnoteRef/>
      </w:r>
      <w:r w:rsidRPr="00FA5C59">
        <w:t xml:space="preserve"> Prieiga internete: </w:t>
      </w:r>
      <w:hyperlink r:id="rId7" w:history="1">
        <w:r w:rsidRPr="00FA5C59">
          <w:rPr>
            <w:rStyle w:val="Hyperlink"/>
          </w:rPr>
          <w:t>http://www.avnt.lt/veiklos-sritys/vertinimas/Vertintojai-ir-vertinimo-imones/isores-turto-arba-verslo-vertinimo-veikla-turinciu-teises-verstis-asmenu-sarasas/</w:t>
        </w:r>
      </w:hyperlink>
      <w:r w:rsidRPr="00FA5C59">
        <w:t xml:space="preserve"> </w:t>
      </w:r>
    </w:p>
  </w:footnote>
  <w:footnote w:id="13">
    <w:p w14:paraId="13949A0C" w14:textId="77777777" w:rsidR="001C7B82" w:rsidRPr="00CA53C8" w:rsidRDefault="001C7B82" w:rsidP="00CA53C8">
      <w:pPr>
        <w:pStyle w:val="FootnoteText"/>
        <w:contextualSpacing/>
        <w:jc w:val="both"/>
        <w:rPr>
          <w:sz w:val="18"/>
          <w:szCs w:val="18"/>
        </w:rPr>
      </w:pPr>
      <w:r w:rsidRPr="00FA5C59">
        <w:rPr>
          <w:rStyle w:val="FootnoteReference"/>
        </w:rPr>
        <w:footnoteRef/>
      </w:r>
      <w:r w:rsidRPr="00FA5C59">
        <w:t xml:space="preserve"> Prieiga internete:  </w:t>
      </w:r>
      <w:hyperlink r:id="rId8" w:history="1">
        <w:r w:rsidRPr="00FA5C59">
          <w:rPr>
            <w:rStyle w:val="Hyperlink"/>
          </w:rPr>
          <w:t>http://www.avnt.lt/veiklos-sritys/vertinimas/vertintoju-ir-vertinimo-imoniu-veiklos-prieziura/planiniai-ir-neplaniniai-patikrinimai/</w:t>
        </w:r>
      </w:hyperlink>
      <w:r w:rsidRPr="00CA53C8">
        <w:rPr>
          <w:sz w:val="18"/>
          <w:szCs w:val="18"/>
        </w:rPr>
        <w:t xml:space="preserve"> </w:t>
      </w:r>
    </w:p>
  </w:footnote>
  <w:footnote w:id="14">
    <w:p w14:paraId="46E66938" w14:textId="77777777" w:rsidR="00AE0F50" w:rsidRPr="00FA5C59" w:rsidRDefault="00AE0F50" w:rsidP="00AE0F50">
      <w:pPr>
        <w:pStyle w:val="FootnoteText"/>
        <w:jc w:val="both"/>
      </w:pPr>
      <w:r w:rsidRPr="00FA5C59">
        <w:rPr>
          <w:rStyle w:val="FootnoteReference"/>
        </w:rPr>
        <w:footnoteRef/>
      </w:r>
      <w:r w:rsidRPr="00FA5C59">
        <w:t xml:space="preserve"> Prieiga internete: </w:t>
      </w:r>
      <w:hyperlink r:id="rId9" w:history="1">
        <w:r w:rsidRPr="00FA5C59">
          <w:rPr>
            <w:rStyle w:val="Hyperlink"/>
          </w:rPr>
          <w:t>http://www.avnt.lt/assets/Administracin-veikla/Veiklos-ataskaitos/AVNT-ataskaita2019-1-3-men.skelbimui.pdf</w:t>
        </w:r>
      </w:hyperlink>
      <w:r w:rsidRPr="00FA5C59">
        <w:t xml:space="preserve"> </w:t>
      </w:r>
    </w:p>
  </w:footnote>
  <w:footnote w:id="15">
    <w:p w14:paraId="105F6ACB" w14:textId="77777777" w:rsidR="00451EE0" w:rsidRPr="00FA5C59" w:rsidRDefault="00451EE0" w:rsidP="00451EE0">
      <w:pPr>
        <w:pStyle w:val="FootnoteText"/>
        <w:jc w:val="both"/>
      </w:pPr>
      <w:r w:rsidRPr="00FA5C59">
        <w:rPr>
          <w:rStyle w:val="FootnoteReference"/>
        </w:rPr>
        <w:footnoteRef/>
      </w:r>
      <w:r w:rsidRPr="00FA5C59">
        <w:t xml:space="preserve"> - Turto ir verslo vertinimo pagrindų įstatymo pažeidimai: 78 proc. atvejų nepateiktas ar netinkamai pateiktas vertės pagrindimas, skaičiavimai; 6 proc. ataskaitų  nenurodytas ar klaidingai nurodytas vertinimo atvejis; 6 proc. ataskaitų netinkamai naudoti vertinimo metodai (metodų deriniai) ir metodų taikymo būdai; 5 proc. atvejų nenurodytas vertinamo turto arba verslo aprašymas; 5 proc. atvejų išvados pasirašymas, vertės nustatymo dienos ir ginčo egzistavimo nurodymas neatitiko;</w:t>
      </w:r>
    </w:p>
    <w:p w14:paraId="379096A8" w14:textId="77777777" w:rsidR="00451EE0" w:rsidRPr="00FA5C59" w:rsidRDefault="00451EE0" w:rsidP="00451EE0">
      <w:pPr>
        <w:pStyle w:val="FootnoteText"/>
        <w:jc w:val="both"/>
      </w:pPr>
      <w:r w:rsidRPr="00FA5C59">
        <w:t>-  Turto ir verslo vertinimo metodikos pažeidimai: 15 proc. ataskaitų nenurodytos formulės, skaičiavimai ir jų rezultatai; 22 proc. atvejų neįvertinti skirtumai, nepagrįstos aplinkybės dėl pataisų taikymo; 19 proc. ataskaitų netinkamai naudoti vertinimo metodai ir jų taikymo būdai; 14 proc. ataskaitų nepateikti duomenų šaltiniai; 3 proc. sudarė kiti pažeidimai.</w:t>
      </w:r>
    </w:p>
  </w:footnote>
  <w:footnote w:id="16">
    <w:p w14:paraId="40F08B9D" w14:textId="77777777" w:rsidR="00451EE0" w:rsidRPr="00FA5C59" w:rsidRDefault="00451EE0">
      <w:pPr>
        <w:pStyle w:val="FootnoteText"/>
      </w:pPr>
      <w:r w:rsidRPr="00FA5C59">
        <w:rPr>
          <w:rStyle w:val="FootnoteReference"/>
        </w:rPr>
        <w:footnoteRef/>
      </w:r>
      <w:r w:rsidRPr="00FA5C59">
        <w:t xml:space="preserve"> Detaliau nėra įvardyta, kokie. </w:t>
      </w:r>
    </w:p>
  </w:footnote>
  <w:footnote w:id="17">
    <w:p w14:paraId="6728E50B" w14:textId="77777777" w:rsidR="00190D9E" w:rsidRPr="00FA5C59" w:rsidRDefault="00190D9E" w:rsidP="00190D9E">
      <w:pPr>
        <w:pStyle w:val="FootnoteText"/>
        <w:jc w:val="both"/>
      </w:pPr>
      <w:r w:rsidRPr="00FA5C59">
        <w:rPr>
          <w:rStyle w:val="FootnoteReference"/>
        </w:rPr>
        <w:footnoteRef/>
      </w:r>
      <w:r w:rsidRPr="00FA5C59">
        <w:t xml:space="preserve"> Įstatymo 23 straipsnio 1 dalyje nustatyta, kad turto arba verslo vertinimo ataskaita laikoma teisinga, kol Priežiūros įstaiga nėra nustačiusi jos neatitikties šio įstatymo 22 straipsnyje nustatytiems reikalavimams ir (arba) kol ji nėra nuginčyta teisme.</w:t>
      </w:r>
    </w:p>
  </w:footnote>
  <w:footnote w:id="18">
    <w:p w14:paraId="06158620" w14:textId="4DF9BFAF" w:rsidR="00646DDD" w:rsidRPr="00FA5C59" w:rsidRDefault="00646DDD">
      <w:pPr>
        <w:pStyle w:val="FootnoteText"/>
      </w:pPr>
      <w:r w:rsidRPr="00FA5C59">
        <w:rPr>
          <w:rStyle w:val="FootnoteReference"/>
        </w:rPr>
        <w:footnoteRef/>
      </w:r>
      <w:r w:rsidRPr="00FA5C59">
        <w:t xml:space="preserve"> </w:t>
      </w:r>
      <w:r w:rsidR="00BF75B4" w:rsidRPr="00FA5C59">
        <w:t xml:space="preserve">Prieiga internete: </w:t>
      </w:r>
      <w:hyperlink r:id="rId10" w:history="1">
        <w:r w:rsidR="00D35A6E" w:rsidRPr="00FA5C59">
          <w:rPr>
            <w:rStyle w:val="Hyperlink"/>
          </w:rPr>
          <w:t>https://www.lrt.lt/naujienos/verslas/4/1074159/ekspertai-kyla-gresme-valstybes-turta-parduoti-per-pigiai</w:t>
        </w:r>
      </w:hyperlink>
      <w:r w:rsidRPr="00FA5C59">
        <w:t xml:space="preserve"> </w:t>
      </w:r>
    </w:p>
  </w:footnote>
  <w:footnote w:id="19">
    <w:p w14:paraId="26E7BD20" w14:textId="77777777" w:rsidR="00362146" w:rsidRPr="00FA5C59" w:rsidRDefault="00362146" w:rsidP="00362146">
      <w:pPr>
        <w:pStyle w:val="FootnoteText"/>
        <w:jc w:val="both"/>
      </w:pPr>
      <w:r w:rsidRPr="00FA5C59">
        <w:rPr>
          <w:rStyle w:val="FootnoteReference"/>
        </w:rPr>
        <w:footnoteRef/>
      </w:r>
      <w:r w:rsidRPr="00FA5C59">
        <w:t xml:space="preserve"> Pagal Įstatymo 15 straipsnio 2 dalies 1 punkto ir 4 dalies 5 punktą, valstybės narės nepriklausomi turto arba verslo vertintojai, kurie laikinai arba vienkartinai vertina turtą arba verslą Lietuvos Respublikoje neteikia Priežiūros tarnybai ataskaitų, jiems nėra numatyta prievolė kelti kvalifikaciją.</w:t>
      </w:r>
    </w:p>
  </w:footnote>
  <w:footnote w:id="20">
    <w:p w14:paraId="234F3E35" w14:textId="77777777" w:rsidR="0011685D" w:rsidRPr="003F0100" w:rsidRDefault="0011685D" w:rsidP="003F0100">
      <w:pPr>
        <w:pStyle w:val="FootnoteText"/>
        <w:jc w:val="both"/>
        <w:rPr>
          <w:sz w:val="18"/>
          <w:szCs w:val="18"/>
        </w:rPr>
      </w:pPr>
      <w:r w:rsidRPr="00FA5C59">
        <w:rPr>
          <w:rStyle w:val="FootnoteReference"/>
        </w:rPr>
        <w:footnoteRef/>
      </w:r>
      <w:r w:rsidRPr="00FA5C59">
        <w:t xml:space="preserve"> Prieiga internete: </w:t>
      </w:r>
      <w:hyperlink r:id="rId11" w:history="1">
        <w:r w:rsidRPr="00FA5C59">
          <w:rPr>
            <w:rStyle w:val="Hyperlink"/>
          </w:rPr>
          <w:t>http://www.avnt.lt/veiklos-sritys/vertinimas/vertintoju-ir-vertinimo-imoniu-veiklos-prieziura/nuobaudos/</w:t>
        </w:r>
      </w:hyperlink>
      <w:r w:rsidRPr="003F0100">
        <w:rPr>
          <w:sz w:val="18"/>
          <w:szCs w:val="18"/>
        </w:rPr>
        <w:t xml:space="preserve"> </w:t>
      </w:r>
    </w:p>
  </w:footnote>
  <w:footnote w:id="21">
    <w:p w14:paraId="706BBFEC" w14:textId="77777777" w:rsidR="00666B02" w:rsidRPr="00FA5C59" w:rsidRDefault="00666B02">
      <w:pPr>
        <w:pStyle w:val="FootnoteText"/>
      </w:pPr>
      <w:r w:rsidRPr="00FA5C59">
        <w:rPr>
          <w:rStyle w:val="FootnoteReference"/>
        </w:rPr>
        <w:footnoteRef/>
      </w:r>
      <w:r w:rsidRPr="00FA5C59">
        <w:t xml:space="preserve"> Prieiga internete: </w:t>
      </w:r>
      <w:hyperlink r:id="rId12" w:history="1">
        <w:r w:rsidRPr="00FA5C59">
          <w:rPr>
            <w:rStyle w:val="Hyperlink"/>
          </w:rPr>
          <w:t>https://e-seimas.lrs.lt/portal/legalAct/lt/TAK/67c99e401f1c11e585eaba374ef4b409?positionInSearchResults=7&amp;searchModelUUID=0af5b33b-1c7f-4112-bbad-8957c0d590e7</w:t>
        </w:r>
      </w:hyperlink>
      <w:r w:rsidRPr="00FA5C59">
        <w:t xml:space="preserve"> </w:t>
      </w:r>
    </w:p>
  </w:footnote>
  <w:footnote w:id="22">
    <w:p w14:paraId="70AEAFC7" w14:textId="77777777" w:rsidR="00563200" w:rsidRPr="004F61E0" w:rsidRDefault="00563200" w:rsidP="00563200">
      <w:pPr>
        <w:pStyle w:val="FootnoteText"/>
        <w:jc w:val="both"/>
        <w:rPr>
          <w:sz w:val="18"/>
          <w:szCs w:val="18"/>
        </w:rPr>
      </w:pPr>
      <w:r w:rsidRPr="00FA5C59">
        <w:rPr>
          <w:rStyle w:val="FootnoteReference"/>
        </w:rPr>
        <w:footnoteRef/>
      </w:r>
      <w:r w:rsidRPr="00FA5C59">
        <w:t xml:space="preserve"> Prašome naudoti Lietuvos Respublikos specialiųjų tyrimų tarnybos antikorupcinio vertinimo išvados įgyvendinimo pažymos formą: </w:t>
      </w:r>
      <w:hyperlink r:id="rId13" w:history="1">
        <w:r w:rsidRPr="00FA5C59">
          <w:rPr>
            <w:rStyle w:val="Hyperlink"/>
          </w:rPr>
          <w:t>http://www.stt.lt/documents/ivertinti_teises_aktai_2018/Pazyma_galutine.docx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60448" w14:textId="77777777" w:rsidR="001F3E37" w:rsidRDefault="005632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2EF707" w14:textId="77777777" w:rsidR="001F3E37" w:rsidRDefault="00430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0A733" w14:textId="77777777" w:rsidR="001F3E37" w:rsidRDefault="00563200">
    <w:pPr>
      <w:pStyle w:val="Header"/>
      <w:jc w:val="center"/>
    </w:pPr>
    <w:r>
      <w:fldChar w:fldCharType="begin"/>
    </w:r>
    <w:r>
      <w:instrText xml:space="preserve"> PAGE   \* MERGEFORMAT </w:instrText>
    </w:r>
    <w:r>
      <w:fldChar w:fldCharType="separate"/>
    </w:r>
    <w:r w:rsidR="00430A3D">
      <w:rPr>
        <w:noProof/>
      </w:rPr>
      <w:t>4</w:t>
    </w:r>
    <w:r>
      <w:fldChar w:fldCharType="end"/>
    </w:r>
  </w:p>
  <w:p w14:paraId="56DB125D" w14:textId="77777777" w:rsidR="001F3E37" w:rsidRDefault="00430A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47101" w14:textId="77777777" w:rsidR="001F3E37" w:rsidRDefault="00430A3D">
    <w:pPr>
      <w:pStyle w:val="Header"/>
      <w:jc w:val="center"/>
    </w:pPr>
  </w:p>
  <w:p w14:paraId="1EEFF407" w14:textId="77777777" w:rsidR="001F3E37" w:rsidRDefault="00430A3D" w:rsidP="00621DE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C5A2A"/>
    <w:multiLevelType w:val="hybridMultilevel"/>
    <w:tmpl w:val="BE56635C"/>
    <w:lvl w:ilvl="0" w:tplc="A06E34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FC214DA"/>
    <w:multiLevelType w:val="hybridMultilevel"/>
    <w:tmpl w:val="59DCA178"/>
    <w:lvl w:ilvl="0" w:tplc="04270011">
      <w:start w:val="1"/>
      <w:numFmt w:val="decimal"/>
      <w:lvlText w:val="%1)"/>
      <w:lvlJc w:val="left"/>
      <w:pPr>
        <w:ind w:left="1069" w:hanging="360"/>
      </w:pPr>
      <w:rPr>
        <w:rFonts w:cs="Times New Roman"/>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
    <w:nsid w:val="6251127F"/>
    <w:multiLevelType w:val="hybridMultilevel"/>
    <w:tmpl w:val="146600AA"/>
    <w:lvl w:ilvl="0" w:tplc="00B43E14">
      <w:start w:val="2019"/>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200"/>
    <w:rsid w:val="00007053"/>
    <w:rsid w:val="00011D68"/>
    <w:rsid w:val="000165E0"/>
    <w:rsid w:val="00016AFD"/>
    <w:rsid w:val="00017205"/>
    <w:rsid w:val="00021ABE"/>
    <w:rsid w:val="00026D3F"/>
    <w:rsid w:val="0002735E"/>
    <w:rsid w:val="000305AF"/>
    <w:rsid w:val="000305B2"/>
    <w:rsid w:val="0003075C"/>
    <w:rsid w:val="000328DF"/>
    <w:rsid w:val="0003484F"/>
    <w:rsid w:val="00043473"/>
    <w:rsid w:val="00043F37"/>
    <w:rsid w:val="00044B75"/>
    <w:rsid w:val="00047364"/>
    <w:rsid w:val="000512AB"/>
    <w:rsid w:val="00053356"/>
    <w:rsid w:val="00053AEE"/>
    <w:rsid w:val="000566EB"/>
    <w:rsid w:val="00065849"/>
    <w:rsid w:val="00066F2B"/>
    <w:rsid w:val="000703F9"/>
    <w:rsid w:val="00074E79"/>
    <w:rsid w:val="000767BB"/>
    <w:rsid w:val="000767FD"/>
    <w:rsid w:val="000774FF"/>
    <w:rsid w:val="00083B33"/>
    <w:rsid w:val="00084B81"/>
    <w:rsid w:val="00086364"/>
    <w:rsid w:val="00087058"/>
    <w:rsid w:val="00090443"/>
    <w:rsid w:val="0009236F"/>
    <w:rsid w:val="00094CE2"/>
    <w:rsid w:val="00095E11"/>
    <w:rsid w:val="000A1C25"/>
    <w:rsid w:val="000A42F1"/>
    <w:rsid w:val="000A50E5"/>
    <w:rsid w:val="000A63C3"/>
    <w:rsid w:val="000B069E"/>
    <w:rsid w:val="000B094E"/>
    <w:rsid w:val="000B36AE"/>
    <w:rsid w:val="000B4085"/>
    <w:rsid w:val="000B4203"/>
    <w:rsid w:val="000B4603"/>
    <w:rsid w:val="000B565E"/>
    <w:rsid w:val="000B5F70"/>
    <w:rsid w:val="000B7403"/>
    <w:rsid w:val="000C3383"/>
    <w:rsid w:val="000C58A3"/>
    <w:rsid w:val="000C59E0"/>
    <w:rsid w:val="000C7005"/>
    <w:rsid w:val="000D2CD5"/>
    <w:rsid w:val="000D411D"/>
    <w:rsid w:val="000D49EA"/>
    <w:rsid w:val="000D7106"/>
    <w:rsid w:val="000E2F2E"/>
    <w:rsid w:val="000E436D"/>
    <w:rsid w:val="000E556D"/>
    <w:rsid w:val="000F1417"/>
    <w:rsid w:val="000F7A84"/>
    <w:rsid w:val="00100B7B"/>
    <w:rsid w:val="00101B02"/>
    <w:rsid w:val="00106192"/>
    <w:rsid w:val="00106B8C"/>
    <w:rsid w:val="00106C73"/>
    <w:rsid w:val="00106DB8"/>
    <w:rsid w:val="00107BFE"/>
    <w:rsid w:val="00111712"/>
    <w:rsid w:val="00113635"/>
    <w:rsid w:val="0011366C"/>
    <w:rsid w:val="0011385F"/>
    <w:rsid w:val="001138CA"/>
    <w:rsid w:val="0011685D"/>
    <w:rsid w:val="00117D22"/>
    <w:rsid w:val="00120C2F"/>
    <w:rsid w:val="00123066"/>
    <w:rsid w:val="00126C23"/>
    <w:rsid w:val="00126F14"/>
    <w:rsid w:val="001277B3"/>
    <w:rsid w:val="00132760"/>
    <w:rsid w:val="00132AA2"/>
    <w:rsid w:val="001364B7"/>
    <w:rsid w:val="001370A9"/>
    <w:rsid w:val="00140FC6"/>
    <w:rsid w:val="00141578"/>
    <w:rsid w:val="00147C68"/>
    <w:rsid w:val="00147CCD"/>
    <w:rsid w:val="001541CC"/>
    <w:rsid w:val="00154214"/>
    <w:rsid w:val="00154288"/>
    <w:rsid w:val="00155015"/>
    <w:rsid w:val="00157567"/>
    <w:rsid w:val="001608D1"/>
    <w:rsid w:val="0016183B"/>
    <w:rsid w:val="00162D40"/>
    <w:rsid w:val="001631C0"/>
    <w:rsid w:val="00172E77"/>
    <w:rsid w:val="0017377A"/>
    <w:rsid w:val="00176482"/>
    <w:rsid w:val="0018092E"/>
    <w:rsid w:val="001816EB"/>
    <w:rsid w:val="00182730"/>
    <w:rsid w:val="001829D8"/>
    <w:rsid w:val="00183565"/>
    <w:rsid w:val="00184BFD"/>
    <w:rsid w:val="00186665"/>
    <w:rsid w:val="00190D9E"/>
    <w:rsid w:val="0019124E"/>
    <w:rsid w:val="00192FCF"/>
    <w:rsid w:val="001938A5"/>
    <w:rsid w:val="00195040"/>
    <w:rsid w:val="00196ED3"/>
    <w:rsid w:val="001A0A79"/>
    <w:rsid w:val="001A517B"/>
    <w:rsid w:val="001A6C68"/>
    <w:rsid w:val="001B01F9"/>
    <w:rsid w:val="001B52C1"/>
    <w:rsid w:val="001C35E9"/>
    <w:rsid w:val="001C5CDE"/>
    <w:rsid w:val="001C7B82"/>
    <w:rsid w:val="001D0836"/>
    <w:rsid w:val="001D146D"/>
    <w:rsid w:val="001D1AF5"/>
    <w:rsid w:val="001E2FD5"/>
    <w:rsid w:val="001E349A"/>
    <w:rsid w:val="001E4541"/>
    <w:rsid w:val="001F2237"/>
    <w:rsid w:val="001F5A6A"/>
    <w:rsid w:val="00212669"/>
    <w:rsid w:val="0021280A"/>
    <w:rsid w:val="0023134A"/>
    <w:rsid w:val="002324C8"/>
    <w:rsid w:val="0023314B"/>
    <w:rsid w:val="00233FFF"/>
    <w:rsid w:val="002358F1"/>
    <w:rsid w:val="00240938"/>
    <w:rsid w:val="00241471"/>
    <w:rsid w:val="0024478E"/>
    <w:rsid w:val="0025031E"/>
    <w:rsid w:val="0025086D"/>
    <w:rsid w:val="00250FBD"/>
    <w:rsid w:val="002531CB"/>
    <w:rsid w:val="00253386"/>
    <w:rsid w:val="00257983"/>
    <w:rsid w:val="00260C35"/>
    <w:rsid w:val="00265C36"/>
    <w:rsid w:val="00273ECC"/>
    <w:rsid w:val="0027675D"/>
    <w:rsid w:val="002805C6"/>
    <w:rsid w:val="002807DE"/>
    <w:rsid w:val="00282C5E"/>
    <w:rsid w:val="00282E00"/>
    <w:rsid w:val="00284822"/>
    <w:rsid w:val="00292DB8"/>
    <w:rsid w:val="00294A5E"/>
    <w:rsid w:val="00296919"/>
    <w:rsid w:val="002971C9"/>
    <w:rsid w:val="002A2071"/>
    <w:rsid w:val="002A3549"/>
    <w:rsid w:val="002A68E0"/>
    <w:rsid w:val="002B03D3"/>
    <w:rsid w:val="002B19D3"/>
    <w:rsid w:val="002B60C7"/>
    <w:rsid w:val="002C0FAC"/>
    <w:rsid w:val="002C20B7"/>
    <w:rsid w:val="002C2765"/>
    <w:rsid w:val="002C4E7D"/>
    <w:rsid w:val="002D65C6"/>
    <w:rsid w:val="002D6D0E"/>
    <w:rsid w:val="002E00DC"/>
    <w:rsid w:val="002E1553"/>
    <w:rsid w:val="002F41DD"/>
    <w:rsid w:val="002F7BDC"/>
    <w:rsid w:val="0030105C"/>
    <w:rsid w:val="00305366"/>
    <w:rsid w:val="0031044A"/>
    <w:rsid w:val="00310E2D"/>
    <w:rsid w:val="00312752"/>
    <w:rsid w:val="00312AC5"/>
    <w:rsid w:val="00312FF6"/>
    <w:rsid w:val="0031351D"/>
    <w:rsid w:val="00314749"/>
    <w:rsid w:val="00317161"/>
    <w:rsid w:val="00317886"/>
    <w:rsid w:val="003248B4"/>
    <w:rsid w:val="003301DD"/>
    <w:rsid w:val="00331320"/>
    <w:rsid w:val="00331558"/>
    <w:rsid w:val="00332DE1"/>
    <w:rsid w:val="00332E22"/>
    <w:rsid w:val="0033303D"/>
    <w:rsid w:val="00335532"/>
    <w:rsid w:val="003359A0"/>
    <w:rsid w:val="003439D6"/>
    <w:rsid w:val="003448AF"/>
    <w:rsid w:val="0034579B"/>
    <w:rsid w:val="00345EAF"/>
    <w:rsid w:val="003579E1"/>
    <w:rsid w:val="00357A6D"/>
    <w:rsid w:val="003602F8"/>
    <w:rsid w:val="00362146"/>
    <w:rsid w:val="00363410"/>
    <w:rsid w:val="003634AF"/>
    <w:rsid w:val="00364C9B"/>
    <w:rsid w:val="00370660"/>
    <w:rsid w:val="00370952"/>
    <w:rsid w:val="00371621"/>
    <w:rsid w:val="00372F08"/>
    <w:rsid w:val="003754D0"/>
    <w:rsid w:val="003775EF"/>
    <w:rsid w:val="00377B76"/>
    <w:rsid w:val="0038117C"/>
    <w:rsid w:val="00382926"/>
    <w:rsid w:val="00384DD6"/>
    <w:rsid w:val="00386B2F"/>
    <w:rsid w:val="00386B5C"/>
    <w:rsid w:val="003907CA"/>
    <w:rsid w:val="0039306C"/>
    <w:rsid w:val="00395768"/>
    <w:rsid w:val="00396306"/>
    <w:rsid w:val="003972D2"/>
    <w:rsid w:val="003A0FB8"/>
    <w:rsid w:val="003A1B0F"/>
    <w:rsid w:val="003A57F6"/>
    <w:rsid w:val="003B0EE3"/>
    <w:rsid w:val="003B415B"/>
    <w:rsid w:val="003B442D"/>
    <w:rsid w:val="003B7101"/>
    <w:rsid w:val="003C2D6F"/>
    <w:rsid w:val="003C3E44"/>
    <w:rsid w:val="003C7F24"/>
    <w:rsid w:val="003D0D0F"/>
    <w:rsid w:val="003D1680"/>
    <w:rsid w:val="003D2DD4"/>
    <w:rsid w:val="003D4C31"/>
    <w:rsid w:val="003E06C5"/>
    <w:rsid w:val="003E3C5E"/>
    <w:rsid w:val="003E3CED"/>
    <w:rsid w:val="003F0100"/>
    <w:rsid w:val="003F29A3"/>
    <w:rsid w:val="003F2B05"/>
    <w:rsid w:val="003F3D2F"/>
    <w:rsid w:val="003F657F"/>
    <w:rsid w:val="003F6EB6"/>
    <w:rsid w:val="00400B0E"/>
    <w:rsid w:val="0040117B"/>
    <w:rsid w:val="004020DE"/>
    <w:rsid w:val="004023C6"/>
    <w:rsid w:val="00405AF3"/>
    <w:rsid w:val="0041041A"/>
    <w:rsid w:val="00411BD4"/>
    <w:rsid w:val="0041382B"/>
    <w:rsid w:val="00414807"/>
    <w:rsid w:val="00416748"/>
    <w:rsid w:val="00417ECE"/>
    <w:rsid w:val="00422F1C"/>
    <w:rsid w:val="004234DC"/>
    <w:rsid w:val="0042423F"/>
    <w:rsid w:val="004247E7"/>
    <w:rsid w:val="00424E87"/>
    <w:rsid w:val="00425D51"/>
    <w:rsid w:val="00430A3D"/>
    <w:rsid w:val="0043243B"/>
    <w:rsid w:val="00440126"/>
    <w:rsid w:val="0044562B"/>
    <w:rsid w:val="004475DD"/>
    <w:rsid w:val="004476C4"/>
    <w:rsid w:val="00447908"/>
    <w:rsid w:val="00450A74"/>
    <w:rsid w:val="00451EE0"/>
    <w:rsid w:val="0045228C"/>
    <w:rsid w:val="00456EC3"/>
    <w:rsid w:val="00461191"/>
    <w:rsid w:val="00462624"/>
    <w:rsid w:val="00462EEE"/>
    <w:rsid w:val="004634B4"/>
    <w:rsid w:val="004649EA"/>
    <w:rsid w:val="004663E0"/>
    <w:rsid w:val="0046749E"/>
    <w:rsid w:val="00470420"/>
    <w:rsid w:val="004717E6"/>
    <w:rsid w:val="0047184A"/>
    <w:rsid w:val="00472479"/>
    <w:rsid w:val="004729EF"/>
    <w:rsid w:val="0048090B"/>
    <w:rsid w:val="00483591"/>
    <w:rsid w:val="0048587C"/>
    <w:rsid w:val="00490FAA"/>
    <w:rsid w:val="0049331C"/>
    <w:rsid w:val="0049485D"/>
    <w:rsid w:val="00495080"/>
    <w:rsid w:val="0049699D"/>
    <w:rsid w:val="00497F6F"/>
    <w:rsid w:val="004A3B35"/>
    <w:rsid w:val="004B249B"/>
    <w:rsid w:val="004B3205"/>
    <w:rsid w:val="004B4AD7"/>
    <w:rsid w:val="004C3010"/>
    <w:rsid w:val="004C3CF3"/>
    <w:rsid w:val="004C67E8"/>
    <w:rsid w:val="004C6DC3"/>
    <w:rsid w:val="004D31CD"/>
    <w:rsid w:val="004E4675"/>
    <w:rsid w:val="004E476B"/>
    <w:rsid w:val="004F392F"/>
    <w:rsid w:val="004F3B68"/>
    <w:rsid w:val="004F61E0"/>
    <w:rsid w:val="004F717D"/>
    <w:rsid w:val="00504EAF"/>
    <w:rsid w:val="005050DF"/>
    <w:rsid w:val="00506D91"/>
    <w:rsid w:val="00507BA5"/>
    <w:rsid w:val="0051067B"/>
    <w:rsid w:val="00512F62"/>
    <w:rsid w:val="005158AF"/>
    <w:rsid w:val="005217A1"/>
    <w:rsid w:val="0052312B"/>
    <w:rsid w:val="00523254"/>
    <w:rsid w:val="005317C8"/>
    <w:rsid w:val="00532815"/>
    <w:rsid w:val="0053522F"/>
    <w:rsid w:val="0054109A"/>
    <w:rsid w:val="00541861"/>
    <w:rsid w:val="00544FC8"/>
    <w:rsid w:val="00545A1F"/>
    <w:rsid w:val="00545F65"/>
    <w:rsid w:val="0054776E"/>
    <w:rsid w:val="00547D6C"/>
    <w:rsid w:val="00551698"/>
    <w:rsid w:val="00553E61"/>
    <w:rsid w:val="00557160"/>
    <w:rsid w:val="005618B3"/>
    <w:rsid w:val="00563200"/>
    <w:rsid w:val="0056438B"/>
    <w:rsid w:val="00564C2A"/>
    <w:rsid w:val="0057166B"/>
    <w:rsid w:val="005729EC"/>
    <w:rsid w:val="0057437F"/>
    <w:rsid w:val="0057608B"/>
    <w:rsid w:val="005808B2"/>
    <w:rsid w:val="00580994"/>
    <w:rsid w:val="00580C78"/>
    <w:rsid w:val="00581835"/>
    <w:rsid w:val="005829ED"/>
    <w:rsid w:val="00585E52"/>
    <w:rsid w:val="0058718B"/>
    <w:rsid w:val="005927BE"/>
    <w:rsid w:val="00593605"/>
    <w:rsid w:val="00594043"/>
    <w:rsid w:val="00594896"/>
    <w:rsid w:val="0059528D"/>
    <w:rsid w:val="00595ED5"/>
    <w:rsid w:val="005966AA"/>
    <w:rsid w:val="0059708D"/>
    <w:rsid w:val="00597F5D"/>
    <w:rsid w:val="005A0D11"/>
    <w:rsid w:val="005A10FC"/>
    <w:rsid w:val="005A27C0"/>
    <w:rsid w:val="005A355D"/>
    <w:rsid w:val="005A395D"/>
    <w:rsid w:val="005A48C9"/>
    <w:rsid w:val="005A572E"/>
    <w:rsid w:val="005B21F1"/>
    <w:rsid w:val="005B773C"/>
    <w:rsid w:val="005C3855"/>
    <w:rsid w:val="005C4A83"/>
    <w:rsid w:val="005D25DB"/>
    <w:rsid w:val="005D46F6"/>
    <w:rsid w:val="005E1E43"/>
    <w:rsid w:val="005F161D"/>
    <w:rsid w:val="005F35EB"/>
    <w:rsid w:val="005F4154"/>
    <w:rsid w:val="005F53A9"/>
    <w:rsid w:val="005F644E"/>
    <w:rsid w:val="005F6DDD"/>
    <w:rsid w:val="005F7FE2"/>
    <w:rsid w:val="00600503"/>
    <w:rsid w:val="006021D4"/>
    <w:rsid w:val="00602493"/>
    <w:rsid w:val="006033EB"/>
    <w:rsid w:val="006037FA"/>
    <w:rsid w:val="00605488"/>
    <w:rsid w:val="00605883"/>
    <w:rsid w:val="00610FD1"/>
    <w:rsid w:val="00611D35"/>
    <w:rsid w:val="00611D78"/>
    <w:rsid w:val="00614B5D"/>
    <w:rsid w:val="00615D0B"/>
    <w:rsid w:val="00615FD2"/>
    <w:rsid w:val="006166F1"/>
    <w:rsid w:val="00616970"/>
    <w:rsid w:val="0062187D"/>
    <w:rsid w:val="0062261F"/>
    <w:rsid w:val="00623415"/>
    <w:rsid w:val="00625DD2"/>
    <w:rsid w:val="00627DAF"/>
    <w:rsid w:val="00631E1E"/>
    <w:rsid w:val="00633318"/>
    <w:rsid w:val="00634FBC"/>
    <w:rsid w:val="00640852"/>
    <w:rsid w:val="0064241F"/>
    <w:rsid w:val="00642439"/>
    <w:rsid w:val="00646DDD"/>
    <w:rsid w:val="00655948"/>
    <w:rsid w:val="00656676"/>
    <w:rsid w:val="00656A3A"/>
    <w:rsid w:val="00656A61"/>
    <w:rsid w:val="00657EAF"/>
    <w:rsid w:val="00663747"/>
    <w:rsid w:val="00666A10"/>
    <w:rsid w:val="00666B02"/>
    <w:rsid w:val="0066711A"/>
    <w:rsid w:val="00667743"/>
    <w:rsid w:val="00672187"/>
    <w:rsid w:val="00672E5E"/>
    <w:rsid w:val="00673B79"/>
    <w:rsid w:val="00673BCB"/>
    <w:rsid w:val="00673F7B"/>
    <w:rsid w:val="00677F02"/>
    <w:rsid w:val="0068013B"/>
    <w:rsid w:val="00683B86"/>
    <w:rsid w:val="00684416"/>
    <w:rsid w:val="006859E9"/>
    <w:rsid w:val="00685C42"/>
    <w:rsid w:val="006912B3"/>
    <w:rsid w:val="00692FD9"/>
    <w:rsid w:val="0069354B"/>
    <w:rsid w:val="006961DE"/>
    <w:rsid w:val="006970B2"/>
    <w:rsid w:val="00697232"/>
    <w:rsid w:val="006A362C"/>
    <w:rsid w:val="006A7014"/>
    <w:rsid w:val="006A7EBF"/>
    <w:rsid w:val="006B3274"/>
    <w:rsid w:val="006B4A3A"/>
    <w:rsid w:val="006C0D4A"/>
    <w:rsid w:val="006C4CF8"/>
    <w:rsid w:val="006D4C82"/>
    <w:rsid w:val="006E1B6E"/>
    <w:rsid w:val="006E343D"/>
    <w:rsid w:val="006E561A"/>
    <w:rsid w:val="006E6A6C"/>
    <w:rsid w:val="006F53F1"/>
    <w:rsid w:val="006F543D"/>
    <w:rsid w:val="006F71C4"/>
    <w:rsid w:val="006F721A"/>
    <w:rsid w:val="00705F31"/>
    <w:rsid w:val="007062C8"/>
    <w:rsid w:val="00706ABB"/>
    <w:rsid w:val="0070787A"/>
    <w:rsid w:val="00707D29"/>
    <w:rsid w:val="00713AA1"/>
    <w:rsid w:val="00715211"/>
    <w:rsid w:val="007154D2"/>
    <w:rsid w:val="00716305"/>
    <w:rsid w:val="00717F65"/>
    <w:rsid w:val="0072457E"/>
    <w:rsid w:val="007247D6"/>
    <w:rsid w:val="007260F6"/>
    <w:rsid w:val="0073250B"/>
    <w:rsid w:val="00735ADF"/>
    <w:rsid w:val="00737F74"/>
    <w:rsid w:val="00740566"/>
    <w:rsid w:val="00740DD3"/>
    <w:rsid w:val="0074246E"/>
    <w:rsid w:val="00746BD6"/>
    <w:rsid w:val="00747901"/>
    <w:rsid w:val="00747B2E"/>
    <w:rsid w:val="00754CA6"/>
    <w:rsid w:val="00757FD7"/>
    <w:rsid w:val="00761277"/>
    <w:rsid w:val="00765F16"/>
    <w:rsid w:val="00766541"/>
    <w:rsid w:val="00773516"/>
    <w:rsid w:val="00774C41"/>
    <w:rsid w:val="00776604"/>
    <w:rsid w:val="00784C38"/>
    <w:rsid w:val="0078524E"/>
    <w:rsid w:val="007A0129"/>
    <w:rsid w:val="007A2301"/>
    <w:rsid w:val="007A239A"/>
    <w:rsid w:val="007A2D4F"/>
    <w:rsid w:val="007A48A7"/>
    <w:rsid w:val="007B0AD8"/>
    <w:rsid w:val="007B3E06"/>
    <w:rsid w:val="007B476C"/>
    <w:rsid w:val="007B519F"/>
    <w:rsid w:val="007B6894"/>
    <w:rsid w:val="007C4DBE"/>
    <w:rsid w:val="007C52DB"/>
    <w:rsid w:val="007C5FAA"/>
    <w:rsid w:val="007C6267"/>
    <w:rsid w:val="007C6412"/>
    <w:rsid w:val="007C7583"/>
    <w:rsid w:val="007D0FAD"/>
    <w:rsid w:val="007D3B85"/>
    <w:rsid w:val="007E2729"/>
    <w:rsid w:val="007E3A68"/>
    <w:rsid w:val="007E66FF"/>
    <w:rsid w:val="007F0182"/>
    <w:rsid w:val="007F132D"/>
    <w:rsid w:val="007F1FC9"/>
    <w:rsid w:val="007F4778"/>
    <w:rsid w:val="007F6E39"/>
    <w:rsid w:val="007F7EF9"/>
    <w:rsid w:val="00801CAF"/>
    <w:rsid w:val="00804056"/>
    <w:rsid w:val="00805156"/>
    <w:rsid w:val="00810912"/>
    <w:rsid w:val="00810AF2"/>
    <w:rsid w:val="00820EB7"/>
    <w:rsid w:val="00822393"/>
    <w:rsid w:val="00824793"/>
    <w:rsid w:val="00826EDC"/>
    <w:rsid w:val="008346D1"/>
    <w:rsid w:val="0083472C"/>
    <w:rsid w:val="00837216"/>
    <w:rsid w:val="00837747"/>
    <w:rsid w:val="00840186"/>
    <w:rsid w:val="00841D6D"/>
    <w:rsid w:val="00841EFE"/>
    <w:rsid w:val="00845F4F"/>
    <w:rsid w:val="00850C64"/>
    <w:rsid w:val="00850E68"/>
    <w:rsid w:val="00852834"/>
    <w:rsid w:val="00853A19"/>
    <w:rsid w:val="00857A13"/>
    <w:rsid w:val="008674AE"/>
    <w:rsid w:val="00870A05"/>
    <w:rsid w:val="00874B08"/>
    <w:rsid w:val="008903FE"/>
    <w:rsid w:val="008A7E9A"/>
    <w:rsid w:val="008B0B44"/>
    <w:rsid w:val="008B1FC4"/>
    <w:rsid w:val="008B6911"/>
    <w:rsid w:val="008C2361"/>
    <w:rsid w:val="008C24D0"/>
    <w:rsid w:val="008C5BE1"/>
    <w:rsid w:val="008C6DFA"/>
    <w:rsid w:val="008D0FD3"/>
    <w:rsid w:val="008D4CF0"/>
    <w:rsid w:val="008D5CF5"/>
    <w:rsid w:val="008E0262"/>
    <w:rsid w:val="008E23BE"/>
    <w:rsid w:val="008E2653"/>
    <w:rsid w:val="008E514F"/>
    <w:rsid w:val="008E5C25"/>
    <w:rsid w:val="008E6379"/>
    <w:rsid w:val="008E6B7B"/>
    <w:rsid w:val="008E70EE"/>
    <w:rsid w:val="008E7FFA"/>
    <w:rsid w:val="008F2EB9"/>
    <w:rsid w:val="008F33B0"/>
    <w:rsid w:val="008F598F"/>
    <w:rsid w:val="009017AF"/>
    <w:rsid w:val="00903800"/>
    <w:rsid w:val="00907313"/>
    <w:rsid w:val="009105E4"/>
    <w:rsid w:val="00911B60"/>
    <w:rsid w:val="009178C4"/>
    <w:rsid w:val="009272AD"/>
    <w:rsid w:val="00931757"/>
    <w:rsid w:val="0093742A"/>
    <w:rsid w:val="00941653"/>
    <w:rsid w:val="00941E78"/>
    <w:rsid w:val="0094346D"/>
    <w:rsid w:val="0095245C"/>
    <w:rsid w:val="009534F5"/>
    <w:rsid w:val="00961F2C"/>
    <w:rsid w:val="00964AD4"/>
    <w:rsid w:val="0096632F"/>
    <w:rsid w:val="00972BED"/>
    <w:rsid w:val="009748EC"/>
    <w:rsid w:val="00986F3D"/>
    <w:rsid w:val="009877CC"/>
    <w:rsid w:val="00995D82"/>
    <w:rsid w:val="00996538"/>
    <w:rsid w:val="00997372"/>
    <w:rsid w:val="009A35F3"/>
    <w:rsid w:val="009A4FF7"/>
    <w:rsid w:val="009A5E5A"/>
    <w:rsid w:val="009B6B27"/>
    <w:rsid w:val="009C14A1"/>
    <w:rsid w:val="009C1AED"/>
    <w:rsid w:val="009C6EE7"/>
    <w:rsid w:val="009D0008"/>
    <w:rsid w:val="009D18E7"/>
    <w:rsid w:val="009D192C"/>
    <w:rsid w:val="009D1AB3"/>
    <w:rsid w:val="009D4225"/>
    <w:rsid w:val="009D6AD3"/>
    <w:rsid w:val="009E27F4"/>
    <w:rsid w:val="009E29B1"/>
    <w:rsid w:val="009E3EBF"/>
    <w:rsid w:val="009E4A65"/>
    <w:rsid w:val="009E7844"/>
    <w:rsid w:val="009F7E52"/>
    <w:rsid w:val="00A005D5"/>
    <w:rsid w:val="00A02E24"/>
    <w:rsid w:val="00A124B6"/>
    <w:rsid w:val="00A13478"/>
    <w:rsid w:val="00A20770"/>
    <w:rsid w:val="00A23C7E"/>
    <w:rsid w:val="00A314A0"/>
    <w:rsid w:val="00A31BC6"/>
    <w:rsid w:val="00A31E2E"/>
    <w:rsid w:val="00A3289D"/>
    <w:rsid w:val="00A33280"/>
    <w:rsid w:val="00A37DFD"/>
    <w:rsid w:val="00A37EE9"/>
    <w:rsid w:val="00A40E03"/>
    <w:rsid w:val="00A41D3E"/>
    <w:rsid w:val="00A428B0"/>
    <w:rsid w:val="00A43B17"/>
    <w:rsid w:val="00A464FC"/>
    <w:rsid w:val="00A47BEB"/>
    <w:rsid w:val="00A47F3A"/>
    <w:rsid w:val="00A54EE0"/>
    <w:rsid w:val="00A560E2"/>
    <w:rsid w:val="00A561C5"/>
    <w:rsid w:val="00A62C22"/>
    <w:rsid w:val="00A677CA"/>
    <w:rsid w:val="00A71C35"/>
    <w:rsid w:val="00A72A9A"/>
    <w:rsid w:val="00A82661"/>
    <w:rsid w:val="00A862A8"/>
    <w:rsid w:val="00A90B98"/>
    <w:rsid w:val="00A95125"/>
    <w:rsid w:val="00A95AC1"/>
    <w:rsid w:val="00A9667F"/>
    <w:rsid w:val="00AA2060"/>
    <w:rsid w:val="00AA44DA"/>
    <w:rsid w:val="00AA4DE3"/>
    <w:rsid w:val="00AA6B90"/>
    <w:rsid w:val="00AB1EB8"/>
    <w:rsid w:val="00AB27C6"/>
    <w:rsid w:val="00AB4752"/>
    <w:rsid w:val="00AB5204"/>
    <w:rsid w:val="00AC059C"/>
    <w:rsid w:val="00AC0734"/>
    <w:rsid w:val="00AC4F8E"/>
    <w:rsid w:val="00AC5DDD"/>
    <w:rsid w:val="00AC6EBF"/>
    <w:rsid w:val="00AC7DF1"/>
    <w:rsid w:val="00AD0E54"/>
    <w:rsid w:val="00AD23C9"/>
    <w:rsid w:val="00AD24AA"/>
    <w:rsid w:val="00AD2C4B"/>
    <w:rsid w:val="00AD4DA2"/>
    <w:rsid w:val="00AD7FAB"/>
    <w:rsid w:val="00AE0F50"/>
    <w:rsid w:val="00AE1A1E"/>
    <w:rsid w:val="00AF4C46"/>
    <w:rsid w:val="00AF4CD8"/>
    <w:rsid w:val="00AF6FC0"/>
    <w:rsid w:val="00AF710A"/>
    <w:rsid w:val="00AF731B"/>
    <w:rsid w:val="00B032DD"/>
    <w:rsid w:val="00B10CDC"/>
    <w:rsid w:val="00B1138C"/>
    <w:rsid w:val="00B11ED5"/>
    <w:rsid w:val="00B12F92"/>
    <w:rsid w:val="00B152B0"/>
    <w:rsid w:val="00B21B83"/>
    <w:rsid w:val="00B220B3"/>
    <w:rsid w:val="00B246DA"/>
    <w:rsid w:val="00B25A74"/>
    <w:rsid w:val="00B27EB0"/>
    <w:rsid w:val="00B30FFF"/>
    <w:rsid w:val="00B31A5F"/>
    <w:rsid w:val="00B32FCC"/>
    <w:rsid w:val="00B34ABF"/>
    <w:rsid w:val="00B40804"/>
    <w:rsid w:val="00B415EE"/>
    <w:rsid w:val="00B41F50"/>
    <w:rsid w:val="00B42D22"/>
    <w:rsid w:val="00B51265"/>
    <w:rsid w:val="00B53C76"/>
    <w:rsid w:val="00B55F3D"/>
    <w:rsid w:val="00B64A48"/>
    <w:rsid w:val="00B65871"/>
    <w:rsid w:val="00B66744"/>
    <w:rsid w:val="00B670D2"/>
    <w:rsid w:val="00B6732A"/>
    <w:rsid w:val="00B713D6"/>
    <w:rsid w:val="00B719BC"/>
    <w:rsid w:val="00B77D77"/>
    <w:rsid w:val="00B81ABE"/>
    <w:rsid w:val="00B82579"/>
    <w:rsid w:val="00B82666"/>
    <w:rsid w:val="00B858D1"/>
    <w:rsid w:val="00B86A95"/>
    <w:rsid w:val="00B86E9E"/>
    <w:rsid w:val="00B87C02"/>
    <w:rsid w:val="00B90607"/>
    <w:rsid w:val="00B90A2F"/>
    <w:rsid w:val="00B91067"/>
    <w:rsid w:val="00B9185B"/>
    <w:rsid w:val="00B95410"/>
    <w:rsid w:val="00B9790B"/>
    <w:rsid w:val="00B97F68"/>
    <w:rsid w:val="00BA1C77"/>
    <w:rsid w:val="00BA1F6D"/>
    <w:rsid w:val="00BA3CCC"/>
    <w:rsid w:val="00BA4288"/>
    <w:rsid w:val="00BA5040"/>
    <w:rsid w:val="00BB1BE8"/>
    <w:rsid w:val="00BB1E96"/>
    <w:rsid w:val="00BB40C1"/>
    <w:rsid w:val="00BB4853"/>
    <w:rsid w:val="00BB6F68"/>
    <w:rsid w:val="00BC54F0"/>
    <w:rsid w:val="00BD2CC5"/>
    <w:rsid w:val="00BE0371"/>
    <w:rsid w:val="00BF05C0"/>
    <w:rsid w:val="00BF10D3"/>
    <w:rsid w:val="00BF529B"/>
    <w:rsid w:val="00BF72A3"/>
    <w:rsid w:val="00BF75B4"/>
    <w:rsid w:val="00C018B5"/>
    <w:rsid w:val="00C0201E"/>
    <w:rsid w:val="00C026DB"/>
    <w:rsid w:val="00C03CFE"/>
    <w:rsid w:val="00C04A9F"/>
    <w:rsid w:val="00C10085"/>
    <w:rsid w:val="00C1021C"/>
    <w:rsid w:val="00C10F3E"/>
    <w:rsid w:val="00C1131C"/>
    <w:rsid w:val="00C11A2D"/>
    <w:rsid w:val="00C14714"/>
    <w:rsid w:val="00C2088E"/>
    <w:rsid w:val="00C2768B"/>
    <w:rsid w:val="00C34098"/>
    <w:rsid w:val="00C41281"/>
    <w:rsid w:val="00C44F85"/>
    <w:rsid w:val="00C45608"/>
    <w:rsid w:val="00C4585F"/>
    <w:rsid w:val="00C51EE0"/>
    <w:rsid w:val="00C52FAF"/>
    <w:rsid w:val="00C60A6B"/>
    <w:rsid w:val="00C65CEC"/>
    <w:rsid w:val="00C81387"/>
    <w:rsid w:val="00C83B54"/>
    <w:rsid w:val="00C84DFC"/>
    <w:rsid w:val="00C85741"/>
    <w:rsid w:val="00C85CFA"/>
    <w:rsid w:val="00C868BB"/>
    <w:rsid w:val="00C91A81"/>
    <w:rsid w:val="00CA3E2F"/>
    <w:rsid w:val="00CA53C8"/>
    <w:rsid w:val="00CA5512"/>
    <w:rsid w:val="00CB09EF"/>
    <w:rsid w:val="00CB1249"/>
    <w:rsid w:val="00CB28E6"/>
    <w:rsid w:val="00CB2C1B"/>
    <w:rsid w:val="00CD0F82"/>
    <w:rsid w:val="00CD4E0F"/>
    <w:rsid w:val="00CE1B70"/>
    <w:rsid w:val="00CE248A"/>
    <w:rsid w:val="00CE25B6"/>
    <w:rsid w:val="00CE4F26"/>
    <w:rsid w:val="00CE65B9"/>
    <w:rsid w:val="00CF0441"/>
    <w:rsid w:val="00CF0537"/>
    <w:rsid w:val="00CF4A56"/>
    <w:rsid w:val="00CF7896"/>
    <w:rsid w:val="00D00CD7"/>
    <w:rsid w:val="00D00D1D"/>
    <w:rsid w:val="00D02319"/>
    <w:rsid w:val="00D03B12"/>
    <w:rsid w:val="00D06381"/>
    <w:rsid w:val="00D06C18"/>
    <w:rsid w:val="00D06FE6"/>
    <w:rsid w:val="00D0755B"/>
    <w:rsid w:val="00D132ED"/>
    <w:rsid w:val="00D143BA"/>
    <w:rsid w:val="00D170C2"/>
    <w:rsid w:val="00D21AA6"/>
    <w:rsid w:val="00D21BFF"/>
    <w:rsid w:val="00D238DE"/>
    <w:rsid w:val="00D27DC3"/>
    <w:rsid w:val="00D32CB4"/>
    <w:rsid w:val="00D35A6E"/>
    <w:rsid w:val="00D35EC1"/>
    <w:rsid w:val="00D500E7"/>
    <w:rsid w:val="00D518DF"/>
    <w:rsid w:val="00D522D2"/>
    <w:rsid w:val="00D523CB"/>
    <w:rsid w:val="00D53C06"/>
    <w:rsid w:val="00D5420B"/>
    <w:rsid w:val="00D5603D"/>
    <w:rsid w:val="00D56AEA"/>
    <w:rsid w:val="00D570CE"/>
    <w:rsid w:val="00D60094"/>
    <w:rsid w:val="00D600FA"/>
    <w:rsid w:val="00D61E9B"/>
    <w:rsid w:val="00D634DD"/>
    <w:rsid w:val="00D702FD"/>
    <w:rsid w:val="00D7031D"/>
    <w:rsid w:val="00D71480"/>
    <w:rsid w:val="00D71510"/>
    <w:rsid w:val="00D77726"/>
    <w:rsid w:val="00D80D5B"/>
    <w:rsid w:val="00D83632"/>
    <w:rsid w:val="00D85422"/>
    <w:rsid w:val="00D90609"/>
    <w:rsid w:val="00D91C7B"/>
    <w:rsid w:val="00D9330B"/>
    <w:rsid w:val="00D97BC0"/>
    <w:rsid w:val="00DA0B7A"/>
    <w:rsid w:val="00DA22CD"/>
    <w:rsid w:val="00DA2356"/>
    <w:rsid w:val="00DA3D71"/>
    <w:rsid w:val="00DA6156"/>
    <w:rsid w:val="00DA6FFF"/>
    <w:rsid w:val="00DB016A"/>
    <w:rsid w:val="00DC0AF4"/>
    <w:rsid w:val="00DC10F3"/>
    <w:rsid w:val="00DC1AEC"/>
    <w:rsid w:val="00DC27F7"/>
    <w:rsid w:val="00DC3A39"/>
    <w:rsid w:val="00DC45F4"/>
    <w:rsid w:val="00DC7320"/>
    <w:rsid w:val="00DD0497"/>
    <w:rsid w:val="00DD4D72"/>
    <w:rsid w:val="00DD5999"/>
    <w:rsid w:val="00DE0298"/>
    <w:rsid w:val="00DE1FAD"/>
    <w:rsid w:val="00DE32F1"/>
    <w:rsid w:val="00DE3DB4"/>
    <w:rsid w:val="00DE5CB3"/>
    <w:rsid w:val="00E01B9C"/>
    <w:rsid w:val="00E02174"/>
    <w:rsid w:val="00E0559F"/>
    <w:rsid w:val="00E07387"/>
    <w:rsid w:val="00E13100"/>
    <w:rsid w:val="00E2082B"/>
    <w:rsid w:val="00E21161"/>
    <w:rsid w:val="00E21DE0"/>
    <w:rsid w:val="00E23FB9"/>
    <w:rsid w:val="00E30BCE"/>
    <w:rsid w:val="00E32706"/>
    <w:rsid w:val="00E41C55"/>
    <w:rsid w:val="00E42C96"/>
    <w:rsid w:val="00E5172E"/>
    <w:rsid w:val="00E5591E"/>
    <w:rsid w:val="00E55F4A"/>
    <w:rsid w:val="00E5754A"/>
    <w:rsid w:val="00E63AE5"/>
    <w:rsid w:val="00E63CA8"/>
    <w:rsid w:val="00E730FB"/>
    <w:rsid w:val="00E74D0C"/>
    <w:rsid w:val="00E759D4"/>
    <w:rsid w:val="00E766AA"/>
    <w:rsid w:val="00E810AC"/>
    <w:rsid w:val="00E832CD"/>
    <w:rsid w:val="00E84E9A"/>
    <w:rsid w:val="00E86006"/>
    <w:rsid w:val="00E86D21"/>
    <w:rsid w:val="00E876F7"/>
    <w:rsid w:val="00E956D5"/>
    <w:rsid w:val="00E9715A"/>
    <w:rsid w:val="00E9744F"/>
    <w:rsid w:val="00E97DF9"/>
    <w:rsid w:val="00EA52AC"/>
    <w:rsid w:val="00EA7026"/>
    <w:rsid w:val="00EB07B2"/>
    <w:rsid w:val="00EC06F2"/>
    <w:rsid w:val="00EC489F"/>
    <w:rsid w:val="00ED072F"/>
    <w:rsid w:val="00ED19A8"/>
    <w:rsid w:val="00ED1E99"/>
    <w:rsid w:val="00ED36FB"/>
    <w:rsid w:val="00ED5BC4"/>
    <w:rsid w:val="00EE418E"/>
    <w:rsid w:val="00EE6E80"/>
    <w:rsid w:val="00EE76C4"/>
    <w:rsid w:val="00EE7ED3"/>
    <w:rsid w:val="00EF341C"/>
    <w:rsid w:val="00EF4377"/>
    <w:rsid w:val="00EF471E"/>
    <w:rsid w:val="00F01E87"/>
    <w:rsid w:val="00F0580A"/>
    <w:rsid w:val="00F108EF"/>
    <w:rsid w:val="00F11DF6"/>
    <w:rsid w:val="00F14781"/>
    <w:rsid w:val="00F16740"/>
    <w:rsid w:val="00F21DFD"/>
    <w:rsid w:val="00F222C8"/>
    <w:rsid w:val="00F24E69"/>
    <w:rsid w:val="00F27E19"/>
    <w:rsid w:val="00F30505"/>
    <w:rsid w:val="00F3615B"/>
    <w:rsid w:val="00F3665D"/>
    <w:rsid w:val="00F422EC"/>
    <w:rsid w:val="00F43451"/>
    <w:rsid w:val="00F44A79"/>
    <w:rsid w:val="00F44B07"/>
    <w:rsid w:val="00F5123B"/>
    <w:rsid w:val="00F531C5"/>
    <w:rsid w:val="00F53AAE"/>
    <w:rsid w:val="00F54FF8"/>
    <w:rsid w:val="00F5638E"/>
    <w:rsid w:val="00F5648C"/>
    <w:rsid w:val="00F5670D"/>
    <w:rsid w:val="00F5732E"/>
    <w:rsid w:val="00F62E93"/>
    <w:rsid w:val="00F64851"/>
    <w:rsid w:val="00F679D3"/>
    <w:rsid w:val="00F70F35"/>
    <w:rsid w:val="00F7391A"/>
    <w:rsid w:val="00F74C35"/>
    <w:rsid w:val="00F84F10"/>
    <w:rsid w:val="00F86151"/>
    <w:rsid w:val="00F872B3"/>
    <w:rsid w:val="00F87E2C"/>
    <w:rsid w:val="00F90ABC"/>
    <w:rsid w:val="00F9105B"/>
    <w:rsid w:val="00F9106F"/>
    <w:rsid w:val="00F93D4D"/>
    <w:rsid w:val="00F94E3E"/>
    <w:rsid w:val="00F96CA0"/>
    <w:rsid w:val="00FA5C59"/>
    <w:rsid w:val="00FA7872"/>
    <w:rsid w:val="00FA7FD5"/>
    <w:rsid w:val="00FB0956"/>
    <w:rsid w:val="00FB1AFA"/>
    <w:rsid w:val="00FB2E59"/>
    <w:rsid w:val="00FB490B"/>
    <w:rsid w:val="00FC019C"/>
    <w:rsid w:val="00FC7E9D"/>
    <w:rsid w:val="00FD0AA8"/>
    <w:rsid w:val="00FD26E2"/>
    <w:rsid w:val="00FD304B"/>
    <w:rsid w:val="00FD3616"/>
    <w:rsid w:val="00FD6E65"/>
    <w:rsid w:val="00FD6EB8"/>
    <w:rsid w:val="00FE02CB"/>
    <w:rsid w:val="00FE0902"/>
    <w:rsid w:val="00FE2C8C"/>
    <w:rsid w:val="00FE594A"/>
    <w:rsid w:val="00FE5A89"/>
    <w:rsid w:val="00FF028D"/>
    <w:rsid w:val="00FF4825"/>
    <w:rsid w:val="00FF5CE0"/>
    <w:rsid w:val="00FF6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97810"/>
  <w15:chartTrackingRefBased/>
  <w15:docId w15:val="{355997D9-C464-40D7-9D59-188CD563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alibri"/>
        <w:sz w:val="24"/>
        <w:lang w:val="lt-L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3200"/>
    <w:pPr>
      <w:tabs>
        <w:tab w:val="center" w:pos="4153"/>
        <w:tab w:val="right" w:pos="8306"/>
      </w:tabs>
      <w:spacing w:line="240" w:lineRule="auto"/>
    </w:pPr>
    <w:rPr>
      <w:rFonts w:ascii="TimesLT" w:eastAsia="Times New Roman" w:hAnsi="TimesLT" w:cs="Times New Roman"/>
      <w:sz w:val="22"/>
      <w:lang w:val="en-US" w:eastAsia="lt-LT"/>
    </w:rPr>
  </w:style>
  <w:style w:type="character" w:customStyle="1" w:styleId="HeaderChar">
    <w:name w:val="Header Char"/>
    <w:basedOn w:val="DefaultParagraphFont"/>
    <w:link w:val="Header"/>
    <w:uiPriority w:val="99"/>
    <w:rsid w:val="00563200"/>
    <w:rPr>
      <w:rFonts w:ascii="TimesLT" w:eastAsia="Times New Roman" w:hAnsi="TimesLT" w:cs="Times New Roman"/>
      <w:sz w:val="22"/>
      <w:lang w:val="en-US" w:eastAsia="lt-LT"/>
    </w:rPr>
  </w:style>
  <w:style w:type="paragraph" w:styleId="Footer">
    <w:name w:val="footer"/>
    <w:basedOn w:val="Normal"/>
    <w:link w:val="FooterChar"/>
    <w:uiPriority w:val="99"/>
    <w:rsid w:val="00563200"/>
    <w:pPr>
      <w:tabs>
        <w:tab w:val="center" w:pos="4153"/>
        <w:tab w:val="right" w:pos="8306"/>
      </w:tabs>
      <w:spacing w:line="240" w:lineRule="auto"/>
    </w:pPr>
    <w:rPr>
      <w:rFonts w:ascii="TimesLT" w:eastAsia="Times New Roman" w:hAnsi="TimesLT" w:cs="Times New Roman"/>
      <w:sz w:val="22"/>
      <w:lang w:val="en-US" w:eastAsia="lt-LT"/>
    </w:rPr>
  </w:style>
  <w:style w:type="character" w:customStyle="1" w:styleId="FooterChar">
    <w:name w:val="Footer Char"/>
    <w:basedOn w:val="DefaultParagraphFont"/>
    <w:link w:val="Footer"/>
    <w:uiPriority w:val="99"/>
    <w:rsid w:val="00563200"/>
    <w:rPr>
      <w:rFonts w:ascii="TimesLT" w:eastAsia="Times New Roman" w:hAnsi="TimesLT" w:cs="Times New Roman"/>
      <w:sz w:val="22"/>
      <w:lang w:val="en-US" w:eastAsia="lt-LT"/>
    </w:rPr>
  </w:style>
  <w:style w:type="character" w:styleId="PageNumber">
    <w:name w:val="page number"/>
    <w:basedOn w:val="DefaultParagraphFont"/>
    <w:uiPriority w:val="99"/>
    <w:rsid w:val="00563200"/>
    <w:rPr>
      <w:rFonts w:cs="Times New Roman"/>
    </w:rPr>
  </w:style>
  <w:style w:type="character" w:styleId="Hyperlink">
    <w:name w:val="Hyperlink"/>
    <w:basedOn w:val="DefaultParagraphFont"/>
    <w:uiPriority w:val="99"/>
    <w:rsid w:val="00563200"/>
    <w:rPr>
      <w:rFonts w:cs="Times New Roman"/>
      <w:color w:val="0000FF"/>
      <w:u w:val="single"/>
    </w:rPr>
  </w:style>
  <w:style w:type="paragraph" w:styleId="FootnoteText">
    <w:name w:val="footnote text"/>
    <w:basedOn w:val="Normal"/>
    <w:link w:val="FootnoteTextChar"/>
    <w:uiPriority w:val="99"/>
    <w:unhideWhenUsed/>
    <w:rsid w:val="00563200"/>
    <w:pPr>
      <w:spacing w:line="240" w:lineRule="auto"/>
    </w:pPr>
    <w:rPr>
      <w:rFonts w:eastAsia="Times New Roman" w:cs="Times New Roman"/>
      <w:sz w:val="20"/>
    </w:rPr>
  </w:style>
  <w:style w:type="character" w:customStyle="1" w:styleId="FootnoteTextChar">
    <w:name w:val="Footnote Text Char"/>
    <w:basedOn w:val="DefaultParagraphFont"/>
    <w:link w:val="FootnoteText"/>
    <w:uiPriority w:val="99"/>
    <w:rsid w:val="00563200"/>
    <w:rPr>
      <w:rFonts w:eastAsia="Times New Roman" w:cs="Times New Roman"/>
      <w:sz w:val="20"/>
    </w:rPr>
  </w:style>
  <w:style w:type="character" w:styleId="FootnoteReference">
    <w:name w:val="footnote reference"/>
    <w:basedOn w:val="DefaultParagraphFont"/>
    <w:uiPriority w:val="99"/>
    <w:unhideWhenUsed/>
    <w:rsid w:val="00563200"/>
    <w:rPr>
      <w:rFonts w:cs="Times New Roman"/>
      <w:vertAlign w:val="superscript"/>
    </w:rPr>
  </w:style>
  <w:style w:type="paragraph" w:styleId="ListParagraph">
    <w:name w:val="List Paragraph"/>
    <w:basedOn w:val="Normal"/>
    <w:uiPriority w:val="34"/>
    <w:qFormat/>
    <w:rsid w:val="00563200"/>
    <w:pPr>
      <w:spacing w:line="240" w:lineRule="auto"/>
      <w:ind w:left="720"/>
      <w:contextualSpacing/>
    </w:pPr>
    <w:rPr>
      <w:rFonts w:eastAsia="Times New Roman" w:cs="Times New Roman"/>
      <w:szCs w:val="24"/>
    </w:rPr>
  </w:style>
  <w:style w:type="paragraph" w:styleId="NormalWeb">
    <w:name w:val="Normal (Web)"/>
    <w:basedOn w:val="Normal"/>
    <w:uiPriority w:val="99"/>
    <w:unhideWhenUsed/>
    <w:rsid w:val="00563200"/>
    <w:pPr>
      <w:spacing w:line="276" w:lineRule="auto"/>
      <w:jc w:val="both"/>
    </w:pPr>
    <w:rPr>
      <w:rFonts w:eastAsia="Times New Roman" w:cs="Times New Roman"/>
      <w:szCs w:val="24"/>
    </w:rPr>
  </w:style>
  <w:style w:type="paragraph" w:customStyle="1" w:styleId="ISTATYMAS">
    <w:name w:val="ISTATYMAS"/>
    <w:basedOn w:val="Normal"/>
    <w:rsid w:val="00563200"/>
    <w:pPr>
      <w:keepLines/>
      <w:suppressAutoHyphens/>
      <w:autoSpaceDE w:val="0"/>
      <w:autoSpaceDN w:val="0"/>
      <w:adjustRightInd w:val="0"/>
      <w:spacing w:line="288" w:lineRule="auto"/>
      <w:jc w:val="center"/>
      <w:textAlignment w:val="center"/>
    </w:pPr>
    <w:rPr>
      <w:rFonts w:eastAsia="Times New Roman" w:cs="Times New Roman"/>
      <w:color w:val="000000"/>
      <w:sz w:val="20"/>
      <w:lang w:val="en-US" w:eastAsia="lt-LT"/>
    </w:rPr>
  </w:style>
  <w:style w:type="character" w:customStyle="1" w:styleId="portlet-title-text">
    <w:name w:val="portlet-title-text"/>
    <w:basedOn w:val="DefaultParagraphFont"/>
    <w:rsid w:val="00563200"/>
    <w:rPr>
      <w:rFonts w:cs="Times New Roman"/>
    </w:rPr>
  </w:style>
  <w:style w:type="character" w:styleId="CommentReference">
    <w:name w:val="annotation reference"/>
    <w:basedOn w:val="DefaultParagraphFont"/>
    <w:semiHidden/>
    <w:unhideWhenUsed/>
    <w:rsid w:val="00FD6EB8"/>
    <w:rPr>
      <w:sz w:val="16"/>
      <w:szCs w:val="16"/>
    </w:rPr>
  </w:style>
  <w:style w:type="paragraph" w:styleId="CommentText">
    <w:name w:val="annotation text"/>
    <w:basedOn w:val="Normal"/>
    <w:link w:val="CommentTextChar"/>
    <w:unhideWhenUsed/>
    <w:rsid w:val="00FD6EB8"/>
    <w:pPr>
      <w:spacing w:line="240" w:lineRule="auto"/>
    </w:pPr>
    <w:rPr>
      <w:sz w:val="20"/>
    </w:rPr>
  </w:style>
  <w:style w:type="character" w:customStyle="1" w:styleId="CommentTextChar">
    <w:name w:val="Comment Text Char"/>
    <w:basedOn w:val="DefaultParagraphFont"/>
    <w:link w:val="CommentText"/>
    <w:rsid w:val="00FD6EB8"/>
    <w:rPr>
      <w:sz w:val="20"/>
    </w:rPr>
  </w:style>
  <w:style w:type="paragraph" w:styleId="CommentSubject">
    <w:name w:val="annotation subject"/>
    <w:basedOn w:val="CommentText"/>
    <w:next w:val="CommentText"/>
    <w:link w:val="CommentSubjectChar"/>
    <w:uiPriority w:val="99"/>
    <w:semiHidden/>
    <w:unhideWhenUsed/>
    <w:rsid w:val="00FD6EB8"/>
    <w:rPr>
      <w:b/>
      <w:bCs/>
    </w:rPr>
  </w:style>
  <w:style w:type="character" w:customStyle="1" w:styleId="CommentSubjectChar">
    <w:name w:val="Comment Subject Char"/>
    <w:basedOn w:val="CommentTextChar"/>
    <w:link w:val="CommentSubject"/>
    <w:uiPriority w:val="99"/>
    <w:semiHidden/>
    <w:rsid w:val="00FD6EB8"/>
    <w:rPr>
      <w:b/>
      <w:bCs/>
      <w:sz w:val="20"/>
    </w:rPr>
  </w:style>
  <w:style w:type="paragraph" w:styleId="BalloonText">
    <w:name w:val="Balloon Text"/>
    <w:basedOn w:val="Normal"/>
    <w:link w:val="BalloonTextChar"/>
    <w:uiPriority w:val="99"/>
    <w:semiHidden/>
    <w:unhideWhenUsed/>
    <w:rsid w:val="00FD6E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EB8"/>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7567"/>
    <w:rPr>
      <w:color w:val="605E5C"/>
      <w:shd w:val="clear" w:color="auto" w:fill="E1DFDD"/>
    </w:rPr>
  </w:style>
  <w:style w:type="character" w:customStyle="1" w:styleId="UnresolvedMention2">
    <w:name w:val="Unresolved Mention2"/>
    <w:basedOn w:val="DefaultParagraphFont"/>
    <w:uiPriority w:val="99"/>
    <w:semiHidden/>
    <w:unhideWhenUsed/>
    <w:rsid w:val="003602F8"/>
    <w:rPr>
      <w:color w:val="605E5C"/>
      <w:shd w:val="clear" w:color="auto" w:fill="E1DFDD"/>
    </w:rPr>
  </w:style>
  <w:style w:type="character" w:styleId="FollowedHyperlink">
    <w:name w:val="FollowedHyperlink"/>
    <w:basedOn w:val="DefaultParagraphFont"/>
    <w:uiPriority w:val="99"/>
    <w:semiHidden/>
    <w:unhideWhenUsed/>
    <w:rsid w:val="00BD2CC5"/>
    <w:rPr>
      <w:color w:val="954F72" w:themeColor="followedHyperlink"/>
      <w:u w:val="single"/>
    </w:rPr>
  </w:style>
  <w:style w:type="character" w:customStyle="1" w:styleId="UnresolvedMention">
    <w:name w:val="Unresolved Mention"/>
    <w:basedOn w:val="DefaultParagraphFont"/>
    <w:uiPriority w:val="99"/>
    <w:semiHidden/>
    <w:unhideWhenUsed/>
    <w:rsid w:val="002E1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43705">
      <w:bodyDiv w:val="1"/>
      <w:marLeft w:val="0"/>
      <w:marRight w:val="0"/>
      <w:marTop w:val="0"/>
      <w:marBottom w:val="0"/>
      <w:divBdr>
        <w:top w:val="none" w:sz="0" w:space="0" w:color="auto"/>
        <w:left w:val="none" w:sz="0" w:space="0" w:color="auto"/>
        <w:bottom w:val="none" w:sz="0" w:space="0" w:color="auto"/>
        <w:right w:val="none" w:sz="0" w:space="0" w:color="auto"/>
      </w:divBdr>
    </w:div>
    <w:div w:id="881867446">
      <w:bodyDiv w:val="1"/>
      <w:marLeft w:val="0"/>
      <w:marRight w:val="0"/>
      <w:marTop w:val="0"/>
      <w:marBottom w:val="0"/>
      <w:divBdr>
        <w:top w:val="none" w:sz="0" w:space="0" w:color="auto"/>
        <w:left w:val="none" w:sz="0" w:space="0" w:color="auto"/>
        <w:bottom w:val="none" w:sz="0" w:space="0" w:color="auto"/>
        <w:right w:val="none" w:sz="0" w:space="0" w:color="auto"/>
      </w:divBdr>
      <w:divsChild>
        <w:div w:id="964041448">
          <w:marLeft w:val="0"/>
          <w:marRight w:val="0"/>
          <w:marTop w:val="0"/>
          <w:marBottom w:val="0"/>
          <w:divBdr>
            <w:top w:val="none" w:sz="0" w:space="0" w:color="auto"/>
            <w:left w:val="none" w:sz="0" w:space="0" w:color="auto"/>
            <w:bottom w:val="none" w:sz="0" w:space="0" w:color="auto"/>
            <w:right w:val="none" w:sz="0" w:space="0" w:color="auto"/>
          </w:divBdr>
          <w:divsChild>
            <w:div w:id="168179137">
              <w:marLeft w:val="0"/>
              <w:marRight w:val="0"/>
              <w:marTop w:val="0"/>
              <w:marBottom w:val="0"/>
              <w:divBdr>
                <w:top w:val="none" w:sz="0" w:space="0" w:color="auto"/>
                <w:left w:val="none" w:sz="0" w:space="0" w:color="auto"/>
                <w:bottom w:val="none" w:sz="0" w:space="0" w:color="auto"/>
                <w:right w:val="none" w:sz="0" w:space="0" w:color="auto"/>
              </w:divBdr>
              <w:divsChild>
                <w:div w:id="1951933249">
                  <w:marLeft w:val="0"/>
                  <w:marRight w:val="0"/>
                  <w:marTop w:val="0"/>
                  <w:marBottom w:val="0"/>
                  <w:divBdr>
                    <w:top w:val="none" w:sz="0" w:space="0" w:color="auto"/>
                    <w:left w:val="none" w:sz="0" w:space="0" w:color="auto"/>
                    <w:bottom w:val="none" w:sz="0" w:space="0" w:color="auto"/>
                    <w:right w:val="none" w:sz="0" w:space="0" w:color="auto"/>
                  </w:divBdr>
                  <w:divsChild>
                    <w:div w:id="1368212741">
                      <w:marLeft w:val="0"/>
                      <w:marRight w:val="0"/>
                      <w:marTop w:val="0"/>
                      <w:marBottom w:val="0"/>
                      <w:divBdr>
                        <w:top w:val="none" w:sz="0" w:space="0" w:color="auto"/>
                        <w:left w:val="none" w:sz="0" w:space="0" w:color="auto"/>
                        <w:bottom w:val="none" w:sz="0" w:space="0" w:color="auto"/>
                        <w:right w:val="none" w:sz="0" w:space="0" w:color="auto"/>
                      </w:divBdr>
                      <w:divsChild>
                        <w:div w:id="1666198963">
                          <w:marLeft w:val="0"/>
                          <w:marRight w:val="0"/>
                          <w:marTop w:val="0"/>
                          <w:marBottom w:val="0"/>
                          <w:divBdr>
                            <w:top w:val="none" w:sz="0" w:space="0" w:color="auto"/>
                            <w:left w:val="none" w:sz="0" w:space="0" w:color="auto"/>
                            <w:bottom w:val="none" w:sz="0" w:space="0" w:color="auto"/>
                            <w:right w:val="none" w:sz="0" w:space="0" w:color="auto"/>
                          </w:divBdr>
                          <w:divsChild>
                            <w:div w:id="1099720203">
                              <w:marLeft w:val="0"/>
                              <w:marRight w:val="0"/>
                              <w:marTop w:val="0"/>
                              <w:marBottom w:val="0"/>
                              <w:divBdr>
                                <w:top w:val="none" w:sz="0" w:space="0" w:color="auto"/>
                                <w:left w:val="none" w:sz="0" w:space="0" w:color="auto"/>
                                <w:bottom w:val="none" w:sz="0" w:space="0" w:color="auto"/>
                                <w:right w:val="none" w:sz="0" w:space="0" w:color="auto"/>
                              </w:divBdr>
                              <w:divsChild>
                                <w:div w:id="476342821">
                                  <w:marLeft w:val="0"/>
                                  <w:marRight w:val="0"/>
                                  <w:marTop w:val="0"/>
                                  <w:marBottom w:val="0"/>
                                  <w:divBdr>
                                    <w:top w:val="none" w:sz="0" w:space="0" w:color="auto"/>
                                    <w:left w:val="none" w:sz="0" w:space="0" w:color="auto"/>
                                    <w:bottom w:val="none" w:sz="0" w:space="0" w:color="auto"/>
                                    <w:right w:val="none" w:sz="0" w:space="0" w:color="auto"/>
                                  </w:divBdr>
                                  <w:divsChild>
                                    <w:div w:id="2054887576">
                                      <w:marLeft w:val="0"/>
                                      <w:marRight w:val="0"/>
                                      <w:marTop w:val="0"/>
                                      <w:marBottom w:val="0"/>
                                      <w:divBdr>
                                        <w:top w:val="none" w:sz="0" w:space="0" w:color="auto"/>
                                        <w:left w:val="none" w:sz="0" w:space="0" w:color="auto"/>
                                        <w:bottom w:val="none" w:sz="0" w:space="0" w:color="auto"/>
                                        <w:right w:val="none" w:sz="0" w:space="0" w:color="auto"/>
                                      </w:divBdr>
                                      <w:divsChild>
                                        <w:div w:id="575170807">
                                          <w:marLeft w:val="0"/>
                                          <w:marRight w:val="0"/>
                                          <w:marTop w:val="0"/>
                                          <w:marBottom w:val="0"/>
                                          <w:divBdr>
                                            <w:top w:val="none" w:sz="0" w:space="0" w:color="auto"/>
                                            <w:left w:val="none" w:sz="0" w:space="0" w:color="auto"/>
                                            <w:bottom w:val="none" w:sz="0" w:space="0" w:color="auto"/>
                                            <w:right w:val="none" w:sz="0" w:space="0" w:color="auto"/>
                                          </w:divBdr>
                                          <w:divsChild>
                                            <w:div w:id="1306738580">
                                              <w:marLeft w:val="0"/>
                                              <w:marRight w:val="0"/>
                                              <w:marTop w:val="0"/>
                                              <w:marBottom w:val="0"/>
                                              <w:divBdr>
                                                <w:top w:val="none" w:sz="0" w:space="0" w:color="auto"/>
                                                <w:left w:val="none" w:sz="0" w:space="0" w:color="auto"/>
                                                <w:bottom w:val="none" w:sz="0" w:space="0" w:color="auto"/>
                                                <w:right w:val="none" w:sz="0" w:space="0" w:color="auto"/>
                                              </w:divBdr>
                                              <w:divsChild>
                                                <w:div w:id="5439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341661">
      <w:bodyDiv w:val="1"/>
      <w:marLeft w:val="0"/>
      <w:marRight w:val="0"/>
      <w:marTop w:val="0"/>
      <w:marBottom w:val="0"/>
      <w:divBdr>
        <w:top w:val="none" w:sz="0" w:space="0" w:color="auto"/>
        <w:left w:val="none" w:sz="0" w:space="0" w:color="auto"/>
        <w:bottom w:val="none" w:sz="0" w:space="0" w:color="auto"/>
        <w:right w:val="none" w:sz="0" w:space="0" w:color="auto"/>
      </w:divBdr>
      <w:divsChild>
        <w:div w:id="119038045">
          <w:marLeft w:val="0"/>
          <w:marRight w:val="0"/>
          <w:marTop w:val="0"/>
          <w:marBottom w:val="0"/>
          <w:divBdr>
            <w:top w:val="none" w:sz="0" w:space="0" w:color="auto"/>
            <w:left w:val="none" w:sz="0" w:space="0" w:color="auto"/>
            <w:bottom w:val="none" w:sz="0" w:space="0" w:color="auto"/>
            <w:right w:val="none" w:sz="0" w:space="0" w:color="auto"/>
          </w:divBdr>
          <w:divsChild>
            <w:div w:id="248120637">
              <w:marLeft w:val="0"/>
              <w:marRight w:val="0"/>
              <w:marTop w:val="0"/>
              <w:marBottom w:val="0"/>
              <w:divBdr>
                <w:top w:val="none" w:sz="0" w:space="0" w:color="auto"/>
                <w:left w:val="none" w:sz="0" w:space="0" w:color="auto"/>
                <w:bottom w:val="none" w:sz="0" w:space="0" w:color="auto"/>
                <w:right w:val="none" w:sz="0" w:space="0" w:color="auto"/>
              </w:divBdr>
              <w:divsChild>
                <w:div w:id="489179095">
                  <w:marLeft w:val="0"/>
                  <w:marRight w:val="0"/>
                  <w:marTop w:val="0"/>
                  <w:marBottom w:val="0"/>
                  <w:divBdr>
                    <w:top w:val="none" w:sz="0" w:space="0" w:color="auto"/>
                    <w:left w:val="none" w:sz="0" w:space="0" w:color="auto"/>
                    <w:bottom w:val="none" w:sz="0" w:space="0" w:color="auto"/>
                    <w:right w:val="none" w:sz="0" w:space="0" w:color="auto"/>
                  </w:divBdr>
                  <w:divsChild>
                    <w:div w:id="20248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ja.antanaite@stt.l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avnt.lt/veiklos-sritys/vertinimas/vertintoju-ir-vertinimo-imoniu-veiklos-prieziura/planiniai-ir-neplaniniai-patikrinimai/" TargetMode="External"/><Relationship Id="rId13" Type="http://schemas.openxmlformats.org/officeDocument/2006/relationships/hyperlink" Target="http://www.stt.lt/documents/ivertinti_teises_aktai_2018/Pazyma_galutine.docx" TargetMode="External"/><Relationship Id="rId3" Type="http://schemas.openxmlformats.org/officeDocument/2006/relationships/hyperlink" Target="https://lvr.lt/naujienos/" TargetMode="External"/><Relationship Id="rId7" Type="http://schemas.openxmlformats.org/officeDocument/2006/relationships/hyperlink" Target="http://www.avnt.lt/veiklos-sritys/vertinimas/Vertintojai-ir-vertinimo-imones/isores-turto-arba-verslo-vertinimo-veikla-turinciu-teises-verstis-asmenu-sarasas/" TargetMode="External"/><Relationship Id="rId12" Type="http://schemas.openxmlformats.org/officeDocument/2006/relationships/hyperlink" Target="https://e-seimas.lrs.lt/portal/legalAct/lt/TAK/67c99e401f1c11e585eaba374ef4b409?positionInSearchResults=7&amp;searchModelUUID=0af5b33b-1c7f-4112-bbad-8957c0d590e7" TargetMode="External"/><Relationship Id="rId2" Type="http://schemas.openxmlformats.org/officeDocument/2006/relationships/hyperlink" Target="http://www.vertintojai.lt/" TargetMode="External"/><Relationship Id="rId1" Type="http://schemas.openxmlformats.org/officeDocument/2006/relationships/hyperlink" Target="http://www.ltva.lt/seminarai/" TargetMode="External"/><Relationship Id="rId6" Type="http://schemas.openxmlformats.org/officeDocument/2006/relationships/hyperlink" Target="http://www.avnt.lt/veiklos-sritys/vertinimas/vertintoju-ir-vertinimo-imoniu-veiklos-prieziura/nuobaudos/" TargetMode="External"/><Relationship Id="rId11" Type="http://schemas.openxmlformats.org/officeDocument/2006/relationships/hyperlink" Target="http://www.avnt.lt/veiklos-sritys/vertinimas/vertintoju-ir-vertinimo-imoniu-veiklos-prieziura/nuobaudos/" TargetMode="External"/><Relationship Id="rId5" Type="http://schemas.openxmlformats.org/officeDocument/2006/relationships/hyperlink" Target="http://www.avnt.lt/veiklos-sritys/vertinimas/mokymai/kiti-kvalifikacijos-kelimo-seminarai/" TargetMode="External"/><Relationship Id="rId10" Type="http://schemas.openxmlformats.org/officeDocument/2006/relationships/hyperlink" Target="https://www.lrt.lt/naujienos/verslas/4/1074159/ekspertai-kyla-gresme-valstybes-turta-parduoti-per-pigiai" TargetMode="External"/><Relationship Id="rId4" Type="http://schemas.openxmlformats.org/officeDocument/2006/relationships/hyperlink" Target="http://www.avnt.lt/nuorodos/vertinimas/" TargetMode="External"/><Relationship Id="rId9" Type="http://schemas.openxmlformats.org/officeDocument/2006/relationships/hyperlink" Target="http://www.avnt.lt/assets/Administracin-veikla/Veiklos-ataskaitos/AVNT-ataskaita2019-1-3-men.skelbimu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6D90C-A2B1-4488-A531-E67D2A8B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17650</Words>
  <Characters>10061</Characters>
  <Application>Microsoft Office Word</Application>
  <DocSecurity>4</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Antanaitė</dc:creator>
  <cp:keywords/>
  <dc:description/>
  <cp:lastModifiedBy>Ramune</cp:lastModifiedBy>
  <cp:revision>2</cp:revision>
  <dcterms:created xsi:type="dcterms:W3CDTF">2019-07-30T12:16:00Z</dcterms:created>
  <dcterms:modified xsi:type="dcterms:W3CDTF">2019-07-30T12:16:00Z</dcterms:modified>
</cp:coreProperties>
</file>