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8E7" w:rsidRPr="004C0643" w:rsidRDefault="003C08E7" w:rsidP="005E6934">
      <w:pPr>
        <w:jc w:val="center"/>
        <w:outlineLvl w:val="0"/>
        <w:rPr>
          <w:rFonts w:ascii="Times New Roman" w:hAnsi="Times New Roman"/>
          <w:b/>
          <w:sz w:val="24"/>
          <w:szCs w:val="24"/>
          <w:lang w:val="en-US"/>
        </w:rPr>
      </w:pPr>
      <w:r w:rsidRPr="004C0643">
        <w:rPr>
          <w:rFonts w:ascii="Times New Roman" w:hAnsi="Times New Roman"/>
          <w:b/>
          <w:sz w:val="24"/>
          <w:szCs w:val="24"/>
          <w:lang w:val="en-US"/>
        </w:rPr>
        <w:t>EXAMPLES OF ANTI-CORRUPTION ASSESSMENT</w:t>
      </w:r>
    </w:p>
    <w:p w:rsidR="003C08E7" w:rsidRPr="004C0643" w:rsidRDefault="003C08E7" w:rsidP="009A247C">
      <w:pPr>
        <w:pStyle w:val="ListParagraph"/>
        <w:numPr>
          <w:ilvl w:val="0"/>
          <w:numId w:val="1"/>
        </w:numPr>
        <w:rPr>
          <w:rFonts w:ascii="Times New Roman" w:hAnsi="Times New Roman"/>
          <w:b/>
          <w:sz w:val="24"/>
          <w:szCs w:val="24"/>
          <w:lang w:val="en-US"/>
        </w:rPr>
      </w:pPr>
      <w:r w:rsidRPr="004C0643">
        <w:rPr>
          <w:rFonts w:ascii="Times New Roman" w:hAnsi="Times New Roman"/>
          <w:b/>
          <w:sz w:val="24"/>
          <w:szCs w:val="24"/>
          <w:lang w:val="en-US"/>
        </w:rPr>
        <w:t>Forest Law of the Republic of Lithuania</w:t>
      </w:r>
    </w:p>
    <w:p w:rsidR="003C08E7" w:rsidRPr="004C0643" w:rsidRDefault="003C08E7" w:rsidP="00640074">
      <w:pPr>
        <w:ind w:firstLine="502"/>
        <w:jc w:val="both"/>
        <w:rPr>
          <w:rFonts w:ascii="Times New Roman" w:hAnsi="Times New Roman"/>
          <w:sz w:val="24"/>
          <w:szCs w:val="24"/>
          <w:lang w:val="en-US"/>
        </w:rPr>
      </w:pPr>
      <w:r w:rsidRPr="004C0643">
        <w:rPr>
          <w:rFonts w:ascii="Times New Roman" w:hAnsi="Times New Roman"/>
          <w:sz w:val="24"/>
          <w:szCs w:val="24"/>
          <w:u w:val="single"/>
          <w:lang w:val="en-US"/>
        </w:rPr>
        <w:t>Situation:</w:t>
      </w:r>
      <w:r w:rsidRPr="004C0643">
        <w:rPr>
          <w:rFonts w:ascii="Times New Roman" w:hAnsi="Times New Roman"/>
          <w:sz w:val="24"/>
          <w:szCs w:val="24"/>
          <w:lang w:val="en-US"/>
        </w:rPr>
        <w:t xml:space="preserve"> STT</w:t>
      </w:r>
      <w:r>
        <w:rPr>
          <w:rFonts w:ascii="Times New Roman" w:hAnsi="Times New Roman"/>
          <w:sz w:val="24"/>
          <w:szCs w:val="24"/>
          <w:lang w:val="en-US"/>
        </w:rPr>
        <w:t xml:space="preserve"> assessing the</w:t>
      </w:r>
      <w:r w:rsidRPr="004C0643">
        <w:rPr>
          <w:rFonts w:ascii="Times New Roman" w:hAnsi="Times New Roman"/>
          <w:sz w:val="24"/>
          <w:szCs w:val="24"/>
          <w:lang w:val="en-US"/>
        </w:rPr>
        <w:t xml:space="preserve"> proposed amendments by the Seimas of Forest Act in relation to forest land conversion.</w:t>
      </w:r>
    </w:p>
    <w:p w:rsidR="003C08E7" w:rsidRDefault="003C08E7" w:rsidP="00640074">
      <w:pPr>
        <w:ind w:firstLine="502"/>
        <w:jc w:val="both"/>
        <w:rPr>
          <w:rFonts w:ascii="Times New Roman" w:hAnsi="Times New Roman"/>
          <w:sz w:val="24"/>
          <w:szCs w:val="24"/>
          <w:lang w:val="en-US"/>
        </w:rPr>
      </w:pPr>
      <w:r w:rsidRPr="004C0643">
        <w:rPr>
          <w:rFonts w:ascii="Times New Roman" w:hAnsi="Times New Roman"/>
          <w:sz w:val="24"/>
          <w:szCs w:val="24"/>
          <w:u w:val="single"/>
          <w:lang w:val="en-US"/>
        </w:rPr>
        <w:t>Remarks:</w:t>
      </w:r>
      <w:r w:rsidRPr="004C0643">
        <w:rPr>
          <w:rFonts w:ascii="Times New Roman" w:hAnsi="Times New Roman"/>
          <w:sz w:val="24"/>
          <w:szCs w:val="24"/>
          <w:lang w:val="en-US"/>
        </w:rPr>
        <w:t xml:space="preserve"> STT noted that the draft does not introduce anti-corruption mechanisms sufficiently transparent and clear criteria by which it can permit to change uses of forest land for </w:t>
      </w:r>
      <w:r>
        <w:rPr>
          <w:rFonts w:ascii="Times New Roman" w:hAnsi="Times New Roman"/>
          <w:sz w:val="24"/>
          <w:szCs w:val="24"/>
          <w:lang w:val="en-US"/>
        </w:rPr>
        <w:t>residential land to form</w:t>
      </w:r>
      <w:r w:rsidRPr="004C0643">
        <w:rPr>
          <w:rFonts w:ascii="Times New Roman" w:hAnsi="Times New Roman"/>
          <w:sz w:val="24"/>
          <w:szCs w:val="24"/>
          <w:lang w:val="en-US"/>
        </w:rPr>
        <w:t xml:space="preserve"> and restore the former homesteads. Also, in the provisions of the draft, was an unclear setting mechanism that on private land was house, so the situation may have contributed to the falsification of data about the remains of former homesteads and to enable civil servants or person</w:t>
      </w:r>
      <w:r>
        <w:rPr>
          <w:rFonts w:ascii="Times New Roman" w:hAnsi="Times New Roman"/>
          <w:sz w:val="24"/>
          <w:szCs w:val="24"/>
          <w:lang w:val="en-US"/>
        </w:rPr>
        <w:t>s treated as the abuse of power</w:t>
      </w:r>
      <w:r>
        <w:rPr>
          <w:rStyle w:val="FootnoteReference"/>
          <w:rFonts w:ascii="Times New Roman" w:hAnsi="Times New Roman"/>
          <w:sz w:val="24"/>
          <w:szCs w:val="24"/>
          <w:lang w:val="en-US"/>
        </w:rPr>
        <w:footnoteReference w:id="1"/>
      </w:r>
    </w:p>
    <w:p w:rsidR="003C08E7" w:rsidRDefault="003C08E7" w:rsidP="009A247C">
      <w:pPr>
        <w:pStyle w:val="ListParagraph"/>
        <w:numPr>
          <w:ilvl w:val="0"/>
          <w:numId w:val="1"/>
        </w:numPr>
        <w:jc w:val="both"/>
        <w:rPr>
          <w:rFonts w:ascii="Times New Roman" w:hAnsi="Times New Roman"/>
          <w:b/>
          <w:sz w:val="24"/>
          <w:szCs w:val="24"/>
          <w:lang w:val="en-US"/>
        </w:rPr>
      </w:pPr>
      <w:r w:rsidRPr="00A0124F">
        <w:rPr>
          <w:rFonts w:ascii="Times New Roman" w:hAnsi="Times New Roman"/>
          <w:b/>
          <w:sz w:val="24"/>
          <w:szCs w:val="24"/>
          <w:lang w:val="en-US"/>
        </w:rPr>
        <w:t xml:space="preserve">Law on Public Procurement of the Republic of Lithuania </w:t>
      </w:r>
    </w:p>
    <w:p w:rsidR="003C08E7" w:rsidRDefault="003C08E7" w:rsidP="00640074">
      <w:pPr>
        <w:ind w:firstLine="502"/>
        <w:jc w:val="both"/>
        <w:rPr>
          <w:rFonts w:ascii="Times New Roman" w:hAnsi="Times New Roman"/>
          <w:sz w:val="24"/>
          <w:szCs w:val="24"/>
          <w:lang w:val="en-US"/>
        </w:rPr>
      </w:pPr>
      <w:r w:rsidRPr="00C201BE">
        <w:rPr>
          <w:rFonts w:ascii="Times New Roman" w:hAnsi="Times New Roman"/>
          <w:sz w:val="24"/>
          <w:szCs w:val="24"/>
          <w:u w:val="single"/>
          <w:lang w:val="en-US"/>
        </w:rPr>
        <w:t>Situation:</w:t>
      </w:r>
      <w:r>
        <w:rPr>
          <w:rFonts w:ascii="Times New Roman" w:hAnsi="Times New Roman"/>
          <w:sz w:val="24"/>
          <w:szCs w:val="24"/>
          <w:lang w:val="en-US"/>
        </w:rPr>
        <w:t xml:space="preserve"> STT </w:t>
      </w:r>
      <w:r w:rsidRPr="00A0124F">
        <w:rPr>
          <w:rFonts w:ascii="Times New Roman" w:hAnsi="Times New Roman"/>
          <w:sz w:val="24"/>
          <w:szCs w:val="24"/>
          <w:lang w:val="en-US"/>
        </w:rPr>
        <w:t>assessing</w:t>
      </w:r>
      <w:r>
        <w:rPr>
          <w:rFonts w:ascii="Times New Roman" w:hAnsi="Times New Roman"/>
          <w:sz w:val="24"/>
          <w:szCs w:val="24"/>
          <w:lang w:val="en-US"/>
        </w:rPr>
        <w:t xml:space="preserve"> the </w:t>
      </w:r>
      <w:r w:rsidRPr="00A0124F">
        <w:rPr>
          <w:rFonts w:ascii="Times New Roman" w:hAnsi="Times New Roman"/>
          <w:sz w:val="24"/>
          <w:szCs w:val="24"/>
          <w:lang w:val="en-US"/>
        </w:rPr>
        <w:t>Law on Public Procurement</w:t>
      </w:r>
      <w:r>
        <w:rPr>
          <w:rFonts w:ascii="Times New Roman" w:hAnsi="Times New Roman"/>
          <w:sz w:val="24"/>
          <w:szCs w:val="24"/>
          <w:lang w:val="en-US"/>
        </w:rPr>
        <w:t xml:space="preserve">’s amendment in the proposed draft </w:t>
      </w:r>
      <w:r w:rsidRPr="00A0124F">
        <w:rPr>
          <w:rFonts w:ascii="Times New Roman" w:hAnsi="Times New Roman"/>
          <w:sz w:val="24"/>
          <w:szCs w:val="24"/>
          <w:lang w:val="en-US"/>
        </w:rPr>
        <w:t>related to with centralized public procurement</w:t>
      </w:r>
      <w:r>
        <w:rPr>
          <w:rFonts w:ascii="Times New Roman" w:hAnsi="Times New Roman"/>
          <w:sz w:val="24"/>
          <w:szCs w:val="24"/>
          <w:lang w:val="en-US"/>
        </w:rPr>
        <w:t>.</w:t>
      </w:r>
    </w:p>
    <w:p w:rsidR="003C08E7" w:rsidRDefault="003C08E7" w:rsidP="00640074">
      <w:pPr>
        <w:ind w:firstLine="502"/>
        <w:jc w:val="both"/>
        <w:rPr>
          <w:rFonts w:ascii="Times New Roman" w:hAnsi="Times New Roman"/>
          <w:sz w:val="24"/>
          <w:szCs w:val="24"/>
          <w:lang w:val="en-US"/>
        </w:rPr>
      </w:pPr>
      <w:r w:rsidRPr="00C201BE">
        <w:rPr>
          <w:rFonts w:ascii="Times New Roman" w:hAnsi="Times New Roman"/>
          <w:sz w:val="24"/>
          <w:szCs w:val="24"/>
          <w:u w:val="single"/>
          <w:lang w:val="en-US"/>
        </w:rPr>
        <w:t>Remarks:</w:t>
      </w:r>
      <w:r w:rsidRPr="004B0D62">
        <w:rPr>
          <w:rFonts w:ascii="Times New Roman" w:hAnsi="Times New Roman"/>
          <w:sz w:val="24"/>
          <w:szCs w:val="24"/>
          <w:lang w:val="en-US"/>
        </w:rPr>
        <w:t xml:space="preserve"> STT proposed</w:t>
      </w:r>
      <w:r>
        <w:rPr>
          <w:rFonts w:ascii="Times New Roman" w:hAnsi="Times New Roman"/>
          <w:sz w:val="24"/>
          <w:szCs w:val="24"/>
          <w:lang w:val="en-US"/>
        </w:rPr>
        <w:t xml:space="preserve"> </w:t>
      </w:r>
      <w:r w:rsidRPr="004B0D62">
        <w:rPr>
          <w:rFonts w:ascii="Times New Roman" w:hAnsi="Times New Roman"/>
          <w:sz w:val="24"/>
          <w:szCs w:val="24"/>
          <w:lang w:val="en-US"/>
        </w:rPr>
        <w:t>to establish centralized procurement obligation</w:t>
      </w:r>
      <w:r>
        <w:rPr>
          <w:rFonts w:ascii="Times New Roman" w:hAnsi="Times New Roman"/>
          <w:sz w:val="24"/>
          <w:szCs w:val="24"/>
          <w:lang w:val="en-US"/>
        </w:rPr>
        <w:t xml:space="preserve"> </w:t>
      </w:r>
      <w:r w:rsidRPr="004B0D62">
        <w:rPr>
          <w:rFonts w:ascii="Times New Roman" w:hAnsi="Times New Roman"/>
          <w:sz w:val="24"/>
          <w:szCs w:val="24"/>
          <w:lang w:val="en-US"/>
        </w:rPr>
        <w:t>in t</w:t>
      </w:r>
      <w:r>
        <w:rPr>
          <w:rFonts w:ascii="Times New Roman" w:hAnsi="Times New Roman"/>
          <w:sz w:val="24"/>
          <w:szCs w:val="24"/>
          <w:lang w:val="en-US"/>
        </w:rPr>
        <w:t>he l</w:t>
      </w:r>
      <w:r w:rsidRPr="004B0D62">
        <w:rPr>
          <w:rFonts w:ascii="Times New Roman" w:hAnsi="Times New Roman"/>
          <w:sz w:val="24"/>
          <w:szCs w:val="24"/>
          <w:lang w:val="en-US"/>
        </w:rPr>
        <w:t xml:space="preserve">aw, as well as the </w:t>
      </w:r>
      <w:r>
        <w:rPr>
          <w:rFonts w:ascii="Times New Roman" w:hAnsi="Times New Roman"/>
          <w:sz w:val="24"/>
          <w:szCs w:val="24"/>
          <w:lang w:val="en-US"/>
        </w:rPr>
        <w:t>abstraction</w:t>
      </w:r>
      <w:r w:rsidRPr="004B0D62">
        <w:rPr>
          <w:rFonts w:ascii="Times New Roman" w:hAnsi="Times New Roman"/>
          <w:sz w:val="24"/>
          <w:szCs w:val="24"/>
          <w:lang w:val="en-US"/>
        </w:rPr>
        <w:t xml:space="preserve"> </w:t>
      </w:r>
      <w:r>
        <w:rPr>
          <w:rFonts w:ascii="Times New Roman" w:hAnsi="Times New Roman"/>
          <w:sz w:val="24"/>
          <w:szCs w:val="24"/>
          <w:lang w:val="en-US"/>
        </w:rPr>
        <w:t xml:space="preserve">formulation </w:t>
      </w:r>
      <w:r w:rsidRPr="004B0D62">
        <w:rPr>
          <w:rFonts w:ascii="Times New Roman" w:hAnsi="Times New Roman"/>
          <w:sz w:val="24"/>
          <w:szCs w:val="24"/>
          <w:lang w:val="en-US"/>
        </w:rPr>
        <w:t>of</w:t>
      </w:r>
      <w:r>
        <w:rPr>
          <w:rFonts w:ascii="Times New Roman" w:hAnsi="Times New Roman"/>
          <w:sz w:val="24"/>
          <w:szCs w:val="24"/>
          <w:lang w:val="en-US"/>
        </w:rPr>
        <w:t xml:space="preserve"> provision</w:t>
      </w:r>
      <w:r w:rsidRPr="004B0D62">
        <w:rPr>
          <w:rFonts w:ascii="Times New Roman" w:hAnsi="Times New Roman"/>
          <w:sz w:val="24"/>
          <w:szCs w:val="24"/>
          <w:lang w:val="en-US"/>
        </w:rPr>
        <w:t xml:space="preserve"> (eva</w:t>
      </w:r>
      <w:r>
        <w:rPr>
          <w:rFonts w:ascii="Times New Roman" w:hAnsi="Times New Roman"/>
          <w:sz w:val="24"/>
          <w:szCs w:val="24"/>
          <w:lang w:val="en-US"/>
        </w:rPr>
        <w:t>luative nature</w:t>
      </w:r>
      <w:r w:rsidRPr="004B0D62">
        <w:rPr>
          <w:rFonts w:ascii="Times New Roman" w:hAnsi="Times New Roman"/>
          <w:sz w:val="24"/>
          <w:szCs w:val="24"/>
          <w:lang w:val="en-US"/>
        </w:rPr>
        <w:t>), which allows the abuse of the exceptions, and considering that the centralized</w:t>
      </w:r>
      <w:r>
        <w:rPr>
          <w:rFonts w:ascii="Times New Roman" w:hAnsi="Times New Roman"/>
          <w:sz w:val="24"/>
          <w:szCs w:val="24"/>
          <w:lang w:val="en-US"/>
        </w:rPr>
        <w:t xml:space="preserve"> public</w:t>
      </w:r>
      <w:r w:rsidRPr="004B0D62">
        <w:rPr>
          <w:rFonts w:ascii="Times New Roman" w:hAnsi="Times New Roman"/>
          <w:sz w:val="24"/>
          <w:szCs w:val="24"/>
          <w:lang w:val="en-US"/>
        </w:rPr>
        <w:t xml:space="preserve"> procurement binding enhance transparency in public procurement and reduce the abuse of assumptions, proposed to establish a more rigorous</w:t>
      </w:r>
      <w:r>
        <w:rPr>
          <w:rFonts w:ascii="Times New Roman" w:hAnsi="Times New Roman"/>
          <w:sz w:val="24"/>
          <w:szCs w:val="24"/>
          <w:lang w:val="en-US"/>
        </w:rPr>
        <w:t xml:space="preserve"> </w:t>
      </w:r>
      <w:r w:rsidRPr="004B0D62">
        <w:rPr>
          <w:rFonts w:ascii="Times New Roman" w:hAnsi="Times New Roman"/>
          <w:sz w:val="24"/>
          <w:szCs w:val="24"/>
          <w:lang w:val="en-US"/>
        </w:rPr>
        <w:t>legal regulation through the Central Procurement Associations</w:t>
      </w:r>
      <w:r>
        <w:rPr>
          <w:rFonts w:ascii="Times New Roman" w:hAnsi="Times New Roman"/>
          <w:sz w:val="24"/>
          <w:szCs w:val="24"/>
          <w:lang w:val="en-US"/>
        </w:rPr>
        <w:t>, s</w:t>
      </w:r>
      <w:r w:rsidRPr="00C201BE">
        <w:rPr>
          <w:rFonts w:ascii="Times New Roman" w:hAnsi="Times New Roman"/>
          <w:sz w:val="24"/>
          <w:szCs w:val="24"/>
          <w:lang w:val="en-US"/>
        </w:rPr>
        <w:t>ubmitted</w:t>
      </w:r>
      <w:r>
        <w:rPr>
          <w:rFonts w:ascii="Times New Roman" w:hAnsi="Times New Roman"/>
          <w:sz w:val="24"/>
          <w:szCs w:val="24"/>
          <w:lang w:val="en-US"/>
        </w:rPr>
        <w:t xml:space="preserve"> potential formulation of such statutory provisions</w:t>
      </w:r>
      <w:r>
        <w:rPr>
          <w:rStyle w:val="FootnoteReference"/>
          <w:rFonts w:ascii="Times New Roman" w:hAnsi="Times New Roman"/>
          <w:sz w:val="24"/>
          <w:szCs w:val="24"/>
          <w:lang w:val="en-US"/>
        </w:rPr>
        <w:footnoteReference w:id="2"/>
      </w:r>
      <w:r>
        <w:rPr>
          <w:rFonts w:ascii="Times New Roman" w:hAnsi="Times New Roman"/>
          <w:sz w:val="24"/>
          <w:szCs w:val="24"/>
          <w:lang w:val="en-US"/>
        </w:rPr>
        <w:t>.</w:t>
      </w:r>
    </w:p>
    <w:p w:rsidR="003C08E7" w:rsidRDefault="003C08E7" w:rsidP="009A247C">
      <w:pPr>
        <w:pStyle w:val="ListParagraph"/>
        <w:numPr>
          <w:ilvl w:val="0"/>
          <w:numId w:val="1"/>
        </w:numPr>
        <w:jc w:val="both"/>
        <w:rPr>
          <w:rFonts w:ascii="Times New Roman" w:hAnsi="Times New Roman"/>
          <w:b/>
          <w:sz w:val="24"/>
          <w:szCs w:val="24"/>
          <w:lang w:val="en-US"/>
        </w:rPr>
      </w:pPr>
      <w:r w:rsidRPr="00A0124F">
        <w:rPr>
          <w:rFonts w:ascii="Times New Roman" w:hAnsi="Times New Roman"/>
          <w:b/>
          <w:sz w:val="24"/>
          <w:szCs w:val="24"/>
          <w:lang w:val="en-US"/>
        </w:rPr>
        <w:t xml:space="preserve">Law on Public Procurement of the Republic of Lithuania </w:t>
      </w:r>
    </w:p>
    <w:p w:rsidR="003C08E7" w:rsidRDefault="003C08E7" w:rsidP="00640074">
      <w:pPr>
        <w:spacing w:after="0"/>
        <w:ind w:firstLine="502"/>
        <w:jc w:val="both"/>
        <w:rPr>
          <w:rFonts w:ascii="Times New Roman" w:hAnsi="Times New Roman"/>
          <w:b/>
          <w:sz w:val="24"/>
          <w:szCs w:val="24"/>
          <w:lang w:eastAsia="lt-LT"/>
        </w:rPr>
      </w:pPr>
      <w:r w:rsidRPr="00C201BE">
        <w:rPr>
          <w:rFonts w:ascii="Times New Roman" w:hAnsi="Times New Roman"/>
          <w:sz w:val="24"/>
          <w:szCs w:val="24"/>
          <w:u w:val="single"/>
          <w:lang w:eastAsia="lt-LT"/>
        </w:rPr>
        <w:t>Situation:</w:t>
      </w:r>
      <w:r w:rsidRPr="00C201BE">
        <w:rPr>
          <w:rFonts w:ascii="Times New Roman" w:hAnsi="Times New Roman"/>
          <w:sz w:val="24"/>
          <w:szCs w:val="24"/>
          <w:lang w:eastAsia="lt-LT"/>
        </w:rPr>
        <w:t xml:space="preserve"> Seimas</w:t>
      </w:r>
      <w:r>
        <w:rPr>
          <w:rFonts w:ascii="Times New Roman" w:hAnsi="Times New Roman"/>
          <w:sz w:val="24"/>
          <w:szCs w:val="24"/>
          <w:lang w:eastAsia="lt-LT"/>
        </w:rPr>
        <w:t xml:space="preserve"> by the draft legislation </w:t>
      </w:r>
      <w:r w:rsidRPr="00C201BE">
        <w:rPr>
          <w:rFonts w:ascii="Times New Roman" w:hAnsi="Times New Roman"/>
          <w:sz w:val="24"/>
          <w:szCs w:val="24"/>
          <w:lang w:eastAsia="lt-LT"/>
        </w:rPr>
        <w:t xml:space="preserve">proposes to </w:t>
      </w:r>
      <w:r w:rsidRPr="00F1528A">
        <w:rPr>
          <w:rFonts w:ascii="Times New Roman" w:hAnsi="Times New Roman"/>
          <w:sz w:val="24"/>
          <w:szCs w:val="24"/>
          <w:lang w:eastAsia="lt-LT"/>
        </w:rPr>
        <w:t>supplement</w:t>
      </w:r>
      <w:r>
        <w:rPr>
          <w:rFonts w:ascii="Times New Roman" w:hAnsi="Times New Roman"/>
          <w:sz w:val="24"/>
          <w:szCs w:val="24"/>
          <w:lang w:eastAsia="lt-LT"/>
        </w:rPr>
        <w:t xml:space="preserve"> </w:t>
      </w:r>
      <w:r w:rsidRPr="00C201BE">
        <w:rPr>
          <w:rFonts w:ascii="Times New Roman" w:hAnsi="Times New Roman"/>
          <w:sz w:val="24"/>
          <w:szCs w:val="24"/>
          <w:lang w:eastAsia="lt-LT"/>
        </w:rPr>
        <w:t xml:space="preserve">the current Law on Public Procurement. </w:t>
      </w:r>
      <w:r>
        <w:rPr>
          <w:rFonts w:ascii="Times New Roman" w:hAnsi="Times New Roman"/>
          <w:sz w:val="24"/>
          <w:szCs w:val="24"/>
          <w:lang w:eastAsia="lt-LT"/>
        </w:rPr>
        <w:t>There is a</w:t>
      </w:r>
      <w:r w:rsidRPr="00C201BE">
        <w:rPr>
          <w:rFonts w:ascii="Times New Roman" w:hAnsi="Times New Roman"/>
          <w:sz w:val="24"/>
          <w:szCs w:val="24"/>
          <w:lang w:eastAsia="lt-LT"/>
        </w:rPr>
        <w:t xml:space="preserve"> possibility to terminate the contract</w:t>
      </w:r>
      <w:r>
        <w:rPr>
          <w:rFonts w:ascii="Times New Roman" w:hAnsi="Times New Roman"/>
          <w:sz w:val="24"/>
          <w:szCs w:val="24"/>
          <w:lang w:eastAsia="lt-LT"/>
        </w:rPr>
        <w:t xml:space="preserve"> in t</w:t>
      </w:r>
      <w:r w:rsidRPr="00F1528A">
        <w:rPr>
          <w:rFonts w:ascii="Times New Roman" w:hAnsi="Times New Roman"/>
          <w:sz w:val="24"/>
          <w:szCs w:val="24"/>
          <w:lang w:eastAsia="lt-LT"/>
        </w:rPr>
        <w:t xml:space="preserve">he </w:t>
      </w:r>
      <w:r>
        <w:rPr>
          <w:rFonts w:ascii="Times New Roman" w:hAnsi="Times New Roman"/>
          <w:sz w:val="24"/>
          <w:szCs w:val="24"/>
          <w:lang w:eastAsia="lt-LT"/>
        </w:rPr>
        <w:t>draft legislation</w:t>
      </w:r>
      <w:r w:rsidRPr="00F1528A">
        <w:rPr>
          <w:rFonts w:ascii="Times New Roman" w:hAnsi="Times New Roman"/>
          <w:sz w:val="24"/>
          <w:szCs w:val="24"/>
          <w:lang w:eastAsia="lt-LT"/>
        </w:rPr>
        <w:t xml:space="preserve"> </w:t>
      </w:r>
      <w:r w:rsidRPr="00C201BE">
        <w:rPr>
          <w:rFonts w:ascii="Times New Roman" w:hAnsi="Times New Roman"/>
          <w:sz w:val="24"/>
          <w:szCs w:val="24"/>
          <w:lang w:eastAsia="lt-LT"/>
        </w:rPr>
        <w:t xml:space="preserve">if the contract supplier failed to supply of goods or services or the quality of work and have been </w:t>
      </w:r>
      <w:r>
        <w:rPr>
          <w:rFonts w:ascii="Times New Roman" w:hAnsi="Times New Roman"/>
          <w:sz w:val="24"/>
          <w:szCs w:val="24"/>
          <w:lang w:eastAsia="lt-LT"/>
        </w:rPr>
        <w:t xml:space="preserve">made </w:t>
      </w:r>
      <w:r w:rsidRPr="00C201BE">
        <w:rPr>
          <w:rFonts w:ascii="Times New Roman" w:hAnsi="Times New Roman"/>
          <w:sz w:val="24"/>
          <w:szCs w:val="24"/>
          <w:lang w:eastAsia="lt-LT"/>
        </w:rPr>
        <w:t xml:space="preserve">a decision on the supply of goods, services or construction quality violations. </w:t>
      </w:r>
      <w:r>
        <w:rPr>
          <w:rFonts w:ascii="Times New Roman" w:hAnsi="Times New Roman"/>
          <w:sz w:val="24"/>
          <w:szCs w:val="24"/>
          <w:lang w:eastAsia="lt-LT"/>
        </w:rPr>
        <w:t xml:space="preserve">Also there is a formulation </w:t>
      </w:r>
      <w:r w:rsidRPr="00F1528A">
        <w:rPr>
          <w:rFonts w:ascii="Times New Roman" w:hAnsi="Times New Roman"/>
          <w:sz w:val="24"/>
          <w:szCs w:val="24"/>
          <w:lang w:eastAsia="lt-LT"/>
        </w:rPr>
        <w:t xml:space="preserve">that </w:t>
      </w:r>
      <w:r>
        <w:rPr>
          <w:rFonts w:ascii="Times New Roman" w:hAnsi="Times New Roman"/>
          <w:sz w:val="24"/>
          <w:szCs w:val="24"/>
          <w:lang w:eastAsia="lt-LT"/>
        </w:rPr>
        <w:t>the public procurement contract</w:t>
      </w:r>
      <w:r w:rsidRPr="00F1528A">
        <w:rPr>
          <w:rFonts w:ascii="Times New Roman" w:hAnsi="Times New Roman"/>
          <w:sz w:val="24"/>
          <w:szCs w:val="24"/>
          <w:lang w:eastAsia="lt-LT"/>
        </w:rPr>
        <w:t xml:space="preserve"> </w:t>
      </w:r>
      <w:r>
        <w:rPr>
          <w:rFonts w:ascii="Times New Roman" w:hAnsi="Times New Roman"/>
          <w:sz w:val="24"/>
          <w:szCs w:val="24"/>
          <w:lang w:eastAsia="lt-LT"/>
        </w:rPr>
        <w:t>–</w:t>
      </w:r>
      <w:r w:rsidRPr="00F1528A">
        <w:rPr>
          <w:rFonts w:ascii="Times New Roman" w:hAnsi="Times New Roman"/>
          <w:sz w:val="24"/>
          <w:szCs w:val="24"/>
          <w:lang w:eastAsia="lt-LT"/>
        </w:rPr>
        <w:t xml:space="preserve"> </w:t>
      </w:r>
      <w:r w:rsidRPr="00F1528A">
        <w:rPr>
          <w:rFonts w:ascii="Times New Roman" w:hAnsi="Times New Roman"/>
          <w:b/>
          <w:sz w:val="24"/>
          <w:szCs w:val="24"/>
          <w:lang w:eastAsia="lt-LT"/>
        </w:rPr>
        <w:t>“can be terminated”</w:t>
      </w:r>
      <w:r>
        <w:rPr>
          <w:rFonts w:ascii="Times New Roman" w:hAnsi="Times New Roman"/>
          <w:b/>
          <w:sz w:val="24"/>
          <w:szCs w:val="24"/>
          <w:lang w:eastAsia="lt-LT"/>
        </w:rPr>
        <w:t xml:space="preserve">. </w:t>
      </w:r>
    </w:p>
    <w:p w:rsidR="003C08E7" w:rsidRDefault="003C08E7" w:rsidP="009A247C">
      <w:pPr>
        <w:spacing w:after="0"/>
        <w:jc w:val="both"/>
        <w:rPr>
          <w:rFonts w:ascii="Times New Roman" w:hAnsi="Times New Roman"/>
          <w:b/>
          <w:sz w:val="24"/>
          <w:szCs w:val="24"/>
          <w:lang w:eastAsia="lt-LT"/>
        </w:rPr>
      </w:pPr>
    </w:p>
    <w:p w:rsidR="003C08E7" w:rsidRDefault="003C08E7" w:rsidP="00640074">
      <w:pPr>
        <w:spacing w:after="0"/>
        <w:ind w:firstLine="502"/>
        <w:jc w:val="both"/>
        <w:rPr>
          <w:rFonts w:ascii="Times New Roman" w:hAnsi="Times New Roman"/>
          <w:sz w:val="24"/>
          <w:szCs w:val="24"/>
          <w:lang w:val="en-US"/>
        </w:rPr>
      </w:pPr>
      <w:r w:rsidRPr="000509D7">
        <w:rPr>
          <w:rFonts w:ascii="Times New Roman" w:hAnsi="Times New Roman"/>
          <w:sz w:val="24"/>
          <w:szCs w:val="24"/>
          <w:u w:val="single"/>
          <w:lang w:val="en-US"/>
        </w:rPr>
        <w:t>Remarks:</w:t>
      </w:r>
      <w:r>
        <w:rPr>
          <w:rFonts w:ascii="Times New Roman" w:hAnsi="Times New Roman"/>
          <w:sz w:val="24"/>
          <w:szCs w:val="24"/>
          <w:lang w:val="en-US"/>
        </w:rPr>
        <w:t xml:space="preserve"> t</w:t>
      </w:r>
      <w:r w:rsidRPr="000509D7">
        <w:rPr>
          <w:rFonts w:ascii="Times New Roman" w:hAnsi="Times New Roman"/>
          <w:sz w:val="24"/>
          <w:szCs w:val="24"/>
          <w:lang w:val="en-US"/>
        </w:rPr>
        <w:t>he</w:t>
      </w:r>
      <w:r>
        <w:rPr>
          <w:rFonts w:ascii="Times New Roman" w:hAnsi="Times New Roman"/>
          <w:sz w:val="24"/>
          <w:szCs w:val="24"/>
          <w:lang w:val="en-US"/>
        </w:rPr>
        <w:t xml:space="preserve"> formulation</w:t>
      </w:r>
      <w:r w:rsidRPr="000509D7">
        <w:rPr>
          <w:rFonts w:ascii="Times New Roman" w:hAnsi="Times New Roman"/>
          <w:sz w:val="24"/>
          <w:szCs w:val="24"/>
          <w:lang w:val="en-US"/>
        </w:rPr>
        <w:t xml:space="preserve"> "may be terminated" </w:t>
      </w:r>
      <w:r>
        <w:rPr>
          <w:rFonts w:ascii="Times New Roman" w:hAnsi="Times New Roman"/>
          <w:sz w:val="24"/>
          <w:szCs w:val="24"/>
          <w:lang w:val="en-US"/>
        </w:rPr>
        <w:t xml:space="preserve"> in the draft legislation </w:t>
      </w:r>
      <w:r w:rsidRPr="000509D7">
        <w:rPr>
          <w:rFonts w:ascii="Times New Roman" w:hAnsi="Times New Roman"/>
          <w:sz w:val="24"/>
          <w:szCs w:val="24"/>
          <w:lang w:val="en-US"/>
        </w:rPr>
        <w:t xml:space="preserve">is ambiguous and flawed because it is not clear in what circumstances and to whom will be given the right to decide to terminate the contract. In </w:t>
      </w:r>
      <w:r>
        <w:rPr>
          <w:rFonts w:ascii="Times New Roman" w:hAnsi="Times New Roman"/>
          <w:sz w:val="24"/>
          <w:szCs w:val="24"/>
          <w:lang w:val="en-US"/>
        </w:rPr>
        <w:t xml:space="preserve">order, </w:t>
      </w:r>
      <w:r w:rsidRPr="000509D7">
        <w:rPr>
          <w:rFonts w:ascii="Times New Roman" w:hAnsi="Times New Roman"/>
          <w:sz w:val="24"/>
          <w:szCs w:val="24"/>
          <w:lang w:val="en-US"/>
        </w:rPr>
        <w:t>to avoid these situations in the different interpretations</w:t>
      </w:r>
      <w:r>
        <w:rPr>
          <w:rFonts w:ascii="Times New Roman" w:hAnsi="Times New Roman"/>
          <w:sz w:val="24"/>
          <w:szCs w:val="24"/>
          <w:lang w:val="en-US"/>
        </w:rPr>
        <w:t>, p</w:t>
      </w:r>
      <w:r w:rsidRPr="000509D7">
        <w:rPr>
          <w:rFonts w:ascii="Times New Roman" w:hAnsi="Times New Roman"/>
          <w:sz w:val="24"/>
          <w:szCs w:val="24"/>
          <w:lang w:val="en-US"/>
        </w:rPr>
        <w:t>rovisions of the draft</w:t>
      </w:r>
      <w:r>
        <w:rPr>
          <w:rFonts w:ascii="Times New Roman" w:hAnsi="Times New Roman"/>
          <w:sz w:val="24"/>
          <w:szCs w:val="24"/>
          <w:lang w:val="en-US"/>
        </w:rPr>
        <w:t xml:space="preserve"> legislation are </w:t>
      </w:r>
      <w:r w:rsidRPr="00C12585">
        <w:rPr>
          <w:rFonts w:ascii="Times New Roman" w:hAnsi="Times New Roman"/>
          <w:sz w:val="24"/>
          <w:szCs w:val="24"/>
          <w:lang w:val="en-US"/>
        </w:rPr>
        <w:t xml:space="preserve">proposed </w:t>
      </w:r>
      <w:r>
        <w:rPr>
          <w:rFonts w:ascii="Times New Roman" w:hAnsi="Times New Roman"/>
          <w:sz w:val="24"/>
          <w:szCs w:val="24"/>
          <w:lang w:val="en-US"/>
        </w:rPr>
        <w:t xml:space="preserve">to </w:t>
      </w:r>
      <w:r w:rsidRPr="00C12585">
        <w:rPr>
          <w:rFonts w:ascii="Times New Roman" w:hAnsi="Times New Roman"/>
          <w:sz w:val="24"/>
          <w:szCs w:val="24"/>
          <w:lang w:val="en-US"/>
        </w:rPr>
        <w:t>adjustments.</w:t>
      </w:r>
      <w:r>
        <w:rPr>
          <w:rFonts w:ascii="Times New Roman" w:hAnsi="Times New Roman"/>
          <w:sz w:val="24"/>
          <w:szCs w:val="24"/>
          <w:lang w:val="en-US"/>
        </w:rPr>
        <w:t xml:space="preserve"> </w:t>
      </w:r>
      <w:r w:rsidRPr="000509D7">
        <w:rPr>
          <w:rFonts w:ascii="Times New Roman" w:hAnsi="Times New Roman"/>
          <w:sz w:val="24"/>
          <w:szCs w:val="24"/>
          <w:lang w:val="en-US"/>
        </w:rPr>
        <w:t xml:space="preserve"> </w:t>
      </w:r>
      <w:r>
        <w:rPr>
          <w:rFonts w:ascii="Times New Roman" w:hAnsi="Times New Roman"/>
          <w:sz w:val="24"/>
          <w:szCs w:val="24"/>
          <w:lang w:val="en-US"/>
        </w:rPr>
        <w:t>A</w:t>
      </w:r>
      <w:r w:rsidRPr="000509D7">
        <w:rPr>
          <w:rFonts w:ascii="Times New Roman" w:hAnsi="Times New Roman"/>
          <w:sz w:val="24"/>
          <w:szCs w:val="24"/>
          <w:lang w:val="en-US"/>
        </w:rPr>
        <w:t xml:space="preserve">lso </w:t>
      </w:r>
      <w:r>
        <w:rPr>
          <w:rFonts w:ascii="Times New Roman" w:hAnsi="Times New Roman"/>
          <w:sz w:val="24"/>
          <w:szCs w:val="24"/>
          <w:lang w:val="en-US"/>
        </w:rPr>
        <w:t>using</w:t>
      </w:r>
      <w:r w:rsidRPr="000509D7">
        <w:rPr>
          <w:rFonts w:ascii="Times New Roman" w:hAnsi="Times New Roman"/>
          <w:sz w:val="24"/>
          <w:szCs w:val="24"/>
          <w:lang w:val="en-US"/>
        </w:rPr>
        <w:t xml:space="preserve"> the term "quality control authorities' decision" </w:t>
      </w:r>
      <w:r>
        <w:rPr>
          <w:rFonts w:ascii="Times New Roman" w:hAnsi="Times New Roman"/>
          <w:sz w:val="24"/>
          <w:szCs w:val="24"/>
          <w:lang w:val="en-US"/>
        </w:rPr>
        <w:t xml:space="preserve"> </w:t>
      </w:r>
      <w:r w:rsidRPr="00C12585">
        <w:rPr>
          <w:rFonts w:ascii="Times New Roman" w:hAnsi="Times New Roman"/>
          <w:sz w:val="24"/>
          <w:szCs w:val="24"/>
          <w:lang w:val="en-US"/>
        </w:rPr>
        <w:t xml:space="preserve">in the draft legislation </w:t>
      </w:r>
      <w:r w:rsidRPr="000509D7">
        <w:rPr>
          <w:rFonts w:ascii="Times New Roman" w:hAnsi="Times New Roman"/>
          <w:sz w:val="24"/>
          <w:szCs w:val="24"/>
          <w:lang w:val="en-US"/>
        </w:rPr>
        <w:t xml:space="preserve">- is unclear - not clear to what extent and quality control of the authority to decide that the supplier has made the supply of goods or services or the quality of work carried out by the breach. </w:t>
      </w:r>
      <w:r>
        <w:rPr>
          <w:rFonts w:ascii="Times New Roman" w:hAnsi="Times New Roman"/>
          <w:sz w:val="24"/>
          <w:szCs w:val="24"/>
          <w:lang w:val="en-US"/>
        </w:rPr>
        <w:t xml:space="preserve">STT proposes </w:t>
      </w:r>
      <w:r w:rsidRPr="000509D7">
        <w:rPr>
          <w:rFonts w:ascii="Times New Roman" w:hAnsi="Times New Roman"/>
          <w:sz w:val="24"/>
          <w:szCs w:val="24"/>
          <w:lang w:val="en-US"/>
        </w:rPr>
        <w:t xml:space="preserve">to adjust the </w:t>
      </w:r>
      <w:r>
        <w:rPr>
          <w:rFonts w:ascii="Times New Roman" w:hAnsi="Times New Roman"/>
          <w:sz w:val="24"/>
          <w:szCs w:val="24"/>
          <w:lang w:val="en-US"/>
        </w:rPr>
        <w:t>formulation to avoid ambiguity</w:t>
      </w:r>
      <w:r>
        <w:rPr>
          <w:rStyle w:val="FootnoteReference"/>
          <w:rFonts w:ascii="Times New Roman" w:hAnsi="Times New Roman"/>
          <w:sz w:val="24"/>
          <w:szCs w:val="24"/>
          <w:lang w:val="en-US"/>
        </w:rPr>
        <w:footnoteReference w:id="3"/>
      </w:r>
      <w:r>
        <w:rPr>
          <w:rFonts w:ascii="Times New Roman" w:hAnsi="Times New Roman"/>
          <w:sz w:val="24"/>
          <w:szCs w:val="24"/>
          <w:lang w:val="en-US"/>
        </w:rPr>
        <w:t>.</w:t>
      </w:r>
    </w:p>
    <w:p w:rsidR="003C08E7" w:rsidRDefault="003C08E7" w:rsidP="009A247C">
      <w:pPr>
        <w:spacing w:after="0"/>
        <w:rPr>
          <w:rFonts w:ascii="Times New Roman" w:hAnsi="Times New Roman"/>
          <w:sz w:val="24"/>
          <w:szCs w:val="24"/>
          <w:lang w:val="en-US"/>
        </w:rPr>
      </w:pPr>
    </w:p>
    <w:p w:rsidR="003C08E7" w:rsidRPr="008311E8" w:rsidRDefault="003C08E7" w:rsidP="009A247C">
      <w:pPr>
        <w:pStyle w:val="ListParagraph"/>
        <w:numPr>
          <w:ilvl w:val="0"/>
          <w:numId w:val="1"/>
        </w:numPr>
        <w:spacing w:after="0"/>
        <w:rPr>
          <w:rFonts w:ascii="Times New Roman" w:hAnsi="Times New Roman"/>
          <w:b/>
          <w:sz w:val="24"/>
          <w:szCs w:val="24"/>
          <w:lang w:val="en-US"/>
        </w:rPr>
      </w:pPr>
      <w:r w:rsidRPr="008311E8">
        <w:rPr>
          <w:rFonts w:ascii="Times New Roman" w:hAnsi="Times New Roman"/>
          <w:b/>
          <w:sz w:val="24"/>
          <w:szCs w:val="24"/>
          <w:lang w:val="en-US"/>
        </w:rPr>
        <w:t>Health care institutions concluded a contract with the National Sickness Fund for supervising the activities of the Procedure</w:t>
      </w:r>
    </w:p>
    <w:p w:rsidR="003C08E7" w:rsidRPr="008311E8" w:rsidRDefault="003C08E7" w:rsidP="009A247C">
      <w:pPr>
        <w:spacing w:after="0"/>
        <w:rPr>
          <w:rFonts w:ascii="Times New Roman" w:hAnsi="Times New Roman"/>
          <w:b/>
          <w:sz w:val="24"/>
          <w:szCs w:val="24"/>
          <w:lang w:val="en-US"/>
        </w:rPr>
      </w:pPr>
    </w:p>
    <w:p w:rsidR="003C08E7" w:rsidRDefault="003C08E7" w:rsidP="00640074">
      <w:pPr>
        <w:spacing w:after="0"/>
        <w:ind w:firstLine="502"/>
        <w:jc w:val="both"/>
        <w:rPr>
          <w:rFonts w:ascii="Times New Roman" w:hAnsi="Times New Roman"/>
          <w:sz w:val="24"/>
          <w:szCs w:val="24"/>
          <w:lang w:val="en-US"/>
        </w:rPr>
      </w:pPr>
      <w:r w:rsidRPr="008311E8">
        <w:rPr>
          <w:rFonts w:ascii="Times New Roman" w:hAnsi="Times New Roman"/>
          <w:sz w:val="24"/>
          <w:szCs w:val="24"/>
          <w:u w:val="single"/>
          <w:lang w:val="en-US"/>
        </w:rPr>
        <w:t>Situation:</w:t>
      </w:r>
      <w:r w:rsidRPr="008311E8">
        <w:rPr>
          <w:rFonts w:ascii="Times New Roman" w:hAnsi="Times New Roman"/>
          <w:sz w:val="24"/>
          <w:szCs w:val="24"/>
          <w:lang w:val="en-US"/>
        </w:rPr>
        <w:t xml:space="preserve"> STT </w:t>
      </w:r>
      <w:r>
        <w:rPr>
          <w:rFonts w:ascii="Times New Roman" w:hAnsi="Times New Roman"/>
          <w:sz w:val="24"/>
          <w:szCs w:val="24"/>
          <w:lang w:val="en-US"/>
        </w:rPr>
        <w:t xml:space="preserve">performed </w:t>
      </w:r>
      <w:r w:rsidRPr="008311E8">
        <w:rPr>
          <w:rFonts w:ascii="Times New Roman" w:hAnsi="Times New Roman"/>
          <w:sz w:val="24"/>
          <w:szCs w:val="24"/>
          <w:lang w:val="en-US"/>
        </w:rPr>
        <w:t>by individual health care institutions concluded a contract with the National Sickness Fund for supervising the activities of the Procedure for assessment.</w:t>
      </w:r>
    </w:p>
    <w:p w:rsidR="003C08E7" w:rsidRDefault="003C08E7" w:rsidP="00640074">
      <w:pPr>
        <w:spacing w:after="0"/>
        <w:ind w:firstLine="502"/>
        <w:jc w:val="both"/>
        <w:rPr>
          <w:rFonts w:ascii="Times New Roman" w:hAnsi="Times New Roman"/>
          <w:sz w:val="24"/>
          <w:szCs w:val="24"/>
          <w:lang w:val="en-US"/>
        </w:rPr>
      </w:pPr>
      <w:r w:rsidRPr="00F83A21">
        <w:rPr>
          <w:rFonts w:ascii="Times New Roman" w:hAnsi="Times New Roman"/>
          <w:sz w:val="24"/>
          <w:szCs w:val="24"/>
          <w:u w:val="single"/>
          <w:lang w:val="en-US"/>
        </w:rPr>
        <w:t>Remarks:</w:t>
      </w:r>
      <w:r w:rsidRPr="008311E8">
        <w:rPr>
          <w:rFonts w:ascii="Times New Roman" w:hAnsi="Times New Roman"/>
          <w:sz w:val="24"/>
          <w:szCs w:val="24"/>
          <w:lang w:val="en-US"/>
        </w:rPr>
        <w:t xml:space="preserve"> </w:t>
      </w:r>
      <w:r>
        <w:rPr>
          <w:rFonts w:ascii="Times New Roman" w:hAnsi="Times New Roman"/>
          <w:sz w:val="24"/>
          <w:szCs w:val="24"/>
          <w:lang w:val="en-US"/>
        </w:rPr>
        <w:t xml:space="preserve">STT </w:t>
      </w:r>
      <w:r w:rsidRPr="008311E8">
        <w:rPr>
          <w:rFonts w:ascii="Times New Roman" w:hAnsi="Times New Roman"/>
          <w:sz w:val="24"/>
          <w:szCs w:val="24"/>
          <w:lang w:val="en-US"/>
        </w:rPr>
        <w:t xml:space="preserve">found that the provisions </w:t>
      </w:r>
      <w:r>
        <w:rPr>
          <w:rFonts w:ascii="Times New Roman" w:hAnsi="Times New Roman"/>
          <w:sz w:val="24"/>
          <w:szCs w:val="24"/>
          <w:lang w:val="en-US"/>
        </w:rPr>
        <w:t xml:space="preserve">setting </w:t>
      </w:r>
      <w:r w:rsidRPr="008311E8">
        <w:rPr>
          <w:rFonts w:ascii="Times New Roman" w:hAnsi="Times New Roman"/>
          <w:sz w:val="24"/>
          <w:szCs w:val="24"/>
          <w:lang w:val="en-US"/>
        </w:rPr>
        <w:t xml:space="preserve">the </w:t>
      </w:r>
      <w:r>
        <w:rPr>
          <w:rFonts w:ascii="Times New Roman" w:hAnsi="Times New Roman"/>
          <w:sz w:val="24"/>
          <w:szCs w:val="24"/>
          <w:lang w:val="en-US"/>
        </w:rPr>
        <w:t xml:space="preserve">older expert’s </w:t>
      </w:r>
      <w:r w:rsidRPr="008311E8">
        <w:rPr>
          <w:rFonts w:ascii="Times New Roman" w:hAnsi="Times New Roman"/>
          <w:sz w:val="24"/>
          <w:szCs w:val="24"/>
          <w:lang w:val="en-US"/>
        </w:rPr>
        <w:t>rights and obligations in terms of anti-corruption is flawed</w:t>
      </w:r>
      <w:r>
        <w:rPr>
          <w:rFonts w:ascii="Times New Roman" w:hAnsi="Times New Roman"/>
          <w:sz w:val="24"/>
          <w:szCs w:val="24"/>
          <w:lang w:val="en-US"/>
        </w:rPr>
        <w:t>,</w:t>
      </w:r>
      <w:r w:rsidRPr="008311E8">
        <w:rPr>
          <w:rFonts w:ascii="Times New Roman" w:hAnsi="Times New Roman"/>
          <w:sz w:val="24"/>
          <w:szCs w:val="24"/>
          <w:lang w:val="en-US"/>
        </w:rPr>
        <w:t xml:space="preserve"> because it is not clear what the </w:t>
      </w:r>
      <w:r>
        <w:rPr>
          <w:rFonts w:ascii="Times New Roman" w:hAnsi="Times New Roman"/>
          <w:sz w:val="24"/>
          <w:szCs w:val="24"/>
          <w:lang w:val="en-US"/>
        </w:rPr>
        <w:t xml:space="preserve">older </w:t>
      </w:r>
      <w:r w:rsidRPr="008311E8">
        <w:rPr>
          <w:rFonts w:ascii="Times New Roman" w:hAnsi="Times New Roman"/>
          <w:sz w:val="24"/>
          <w:szCs w:val="24"/>
          <w:lang w:val="en-US"/>
        </w:rPr>
        <w:t>expert can choose to perform what he has to do. Also reading the results of the inspection meeting can take place if it is attended by the majority of people have completed the proce</w:t>
      </w:r>
      <w:r>
        <w:rPr>
          <w:rFonts w:ascii="Times New Roman" w:hAnsi="Times New Roman"/>
          <w:sz w:val="24"/>
          <w:szCs w:val="24"/>
          <w:lang w:val="en-US"/>
        </w:rPr>
        <w:t>dure for monitoring and the head of</w:t>
      </w:r>
      <w:r w:rsidRPr="008311E8">
        <w:rPr>
          <w:rFonts w:ascii="Times New Roman" w:hAnsi="Times New Roman"/>
          <w:sz w:val="24"/>
          <w:szCs w:val="24"/>
          <w:lang w:val="en-US"/>
        </w:rPr>
        <w:t xml:space="preserve"> the </w:t>
      </w:r>
      <w:r>
        <w:rPr>
          <w:rFonts w:ascii="Times New Roman" w:hAnsi="Times New Roman"/>
          <w:sz w:val="24"/>
          <w:szCs w:val="24"/>
          <w:lang w:val="en-US"/>
        </w:rPr>
        <w:t>institution about the meeting</w:t>
      </w:r>
      <w:r w:rsidRPr="008311E8">
        <w:rPr>
          <w:rFonts w:ascii="Times New Roman" w:hAnsi="Times New Roman"/>
          <w:sz w:val="24"/>
          <w:szCs w:val="24"/>
          <w:lang w:val="en-US"/>
        </w:rPr>
        <w:t xml:space="preserve"> shall be notified in writing no later than 10 working days before the </w:t>
      </w:r>
      <w:r>
        <w:rPr>
          <w:rFonts w:ascii="Times New Roman" w:hAnsi="Times New Roman"/>
          <w:sz w:val="24"/>
          <w:szCs w:val="24"/>
          <w:lang w:val="en-US"/>
        </w:rPr>
        <w:t>meeting. From t</w:t>
      </w:r>
      <w:r w:rsidRPr="008311E8">
        <w:rPr>
          <w:rFonts w:ascii="Times New Roman" w:hAnsi="Times New Roman"/>
          <w:sz w:val="24"/>
          <w:szCs w:val="24"/>
          <w:lang w:val="en-US"/>
        </w:rPr>
        <w:t xml:space="preserve">he word "most" is not clear how the number of individuals is mandatory in order for the meeting to take place. In addition, the words ‘may be’ are also ambiguous because it is unclear when the meeting may not take place, although it </w:t>
      </w:r>
      <w:r>
        <w:rPr>
          <w:rFonts w:ascii="Times New Roman" w:hAnsi="Times New Roman"/>
          <w:sz w:val="24"/>
          <w:szCs w:val="24"/>
          <w:lang w:val="en-US"/>
        </w:rPr>
        <w:t>participates “</w:t>
      </w:r>
      <w:r w:rsidRPr="008311E8">
        <w:rPr>
          <w:rFonts w:ascii="Times New Roman" w:hAnsi="Times New Roman"/>
          <w:sz w:val="24"/>
          <w:szCs w:val="24"/>
          <w:lang w:val="en-US"/>
        </w:rPr>
        <w:t>in most of the "control person who carried out the procedure, as well as what is i</w:t>
      </w:r>
      <w:r>
        <w:rPr>
          <w:rFonts w:ascii="Times New Roman" w:hAnsi="Times New Roman"/>
          <w:sz w:val="24"/>
          <w:szCs w:val="24"/>
          <w:lang w:val="en-US"/>
        </w:rPr>
        <w:t>n the case of a decision of un-</w:t>
      </w:r>
      <w:r w:rsidRPr="008311E8">
        <w:rPr>
          <w:rFonts w:ascii="Times New Roman" w:hAnsi="Times New Roman"/>
          <w:sz w:val="24"/>
          <w:szCs w:val="24"/>
          <w:lang w:val="en-US"/>
        </w:rPr>
        <w:t>meeting</w:t>
      </w:r>
      <w:r>
        <w:rPr>
          <w:rStyle w:val="FootnoteReference"/>
          <w:rFonts w:ascii="Times New Roman" w:hAnsi="Times New Roman"/>
          <w:sz w:val="24"/>
          <w:szCs w:val="24"/>
          <w:lang w:val="en-US"/>
        </w:rPr>
        <w:footnoteReference w:id="4"/>
      </w:r>
      <w:r>
        <w:rPr>
          <w:rFonts w:ascii="Times New Roman" w:hAnsi="Times New Roman"/>
          <w:sz w:val="24"/>
          <w:szCs w:val="24"/>
          <w:lang w:val="en-US"/>
        </w:rPr>
        <w:t>.</w:t>
      </w:r>
    </w:p>
    <w:p w:rsidR="003C08E7" w:rsidRDefault="003C08E7" w:rsidP="009A247C">
      <w:pPr>
        <w:jc w:val="both"/>
        <w:rPr>
          <w:rFonts w:ascii="Times New Roman" w:hAnsi="Times New Roman"/>
          <w:sz w:val="24"/>
          <w:szCs w:val="24"/>
          <w:lang w:val="en-US"/>
        </w:rPr>
      </w:pPr>
    </w:p>
    <w:p w:rsidR="003C08E7" w:rsidRPr="00E6386C" w:rsidRDefault="003C08E7" w:rsidP="009A247C">
      <w:pPr>
        <w:pStyle w:val="ListParagraph"/>
        <w:numPr>
          <w:ilvl w:val="0"/>
          <w:numId w:val="1"/>
        </w:numPr>
        <w:jc w:val="both"/>
        <w:rPr>
          <w:rFonts w:ascii="Times New Roman" w:hAnsi="Times New Roman"/>
          <w:b/>
          <w:sz w:val="24"/>
          <w:szCs w:val="24"/>
          <w:lang w:val="en-US"/>
        </w:rPr>
      </w:pPr>
      <w:r w:rsidRPr="00E6386C">
        <w:rPr>
          <w:rFonts w:ascii="Times New Roman" w:hAnsi="Times New Roman"/>
          <w:b/>
          <w:sz w:val="24"/>
          <w:szCs w:val="24"/>
          <w:lang w:val="en-US"/>
        </w:rPr>
        <w:t xml:space="preserve">Law on Pharmacy of Republic of Lithuania </w:t>
      </w:r>
    </w:p>
    <w:p w:rsidR="003C08E7" w:rsidRDefault="003C08E7" w:rsidP="00640074">
      <w:pPr>
        <w:ind w:firstLine="502"/>
        <w:jc w:val="both"/>
        <w:rPr>
          <w:rFonts w:ascii="Times New Roman" w:hAnsi="Times New Roman"/>
          <w:sz w:val="24"/>
          <w:szCs w:val="24"/>
          <w:lang w:val="en-US"/>
        </w:rPr>
      </w:pPr>
      <w:r w:rsidRPr="00E6386C">
        <w:rPr>
          <w:rFonts w:ascii="Times New Roman" w:hAnsi="Times New Roman"/>
          <w:sz w:val="24"/>
          <w:szCs w:val="24"/>
          <w:u w:val="single"/>
          <w:lang w:val="en-US"/>
        </w:rPr>
        <w:t>Situation:</w:t>
      </w:r>
      <w:r>
        <w:rPr>
          <w:rFonts w:ascii="Times New Roman" w:hAnsi="Times New Roman"/>
          <w:sz w:val="24"/>
          <w:szCs w:val="24"/>
          <w:lang w:val="en-US"/>
        </w:rPr>
        <w:t xml:space="preserve"> </w:t>
      </w:r>
      <w:r w:rsidRPr="00E6386C">
        <w:rPr>
          <w:rFonts w:ascii="Times New Roman" w:hAnsi="Times New Roman"/>
          <w:sz w:val="24"/>
          <w:szCs w:val="24"/>
          <w:lang w:val="en-US"/>
        </w:rPr>
        <w:t xml:space="preserve">Seimas </w:t>
      </w:r>
      <w:r>
        <w:rPr>
          <w:rFonts w:ascii="Times New Roman" w:hAnsi="Times New Roman"/>
          <w:sz w:val="24"/>
          <w:szCs w:val="24"/>
          <w:lang w:val="en-US"/>
        </w:rPr>
        <w:t xml:space="preserve">of </w:t>
      </w:r>
      <w:r w:rsidRPr="00E6386C">
        <w:rPr>
          <w:rFonts w:ascii="Times New Roman" w:hAnsi="Times New Roman"/>
          <w:sz w:val="24"/>
          <w:szCs w:val="24"/>
          <w:lang w:val="en-US"/>
        </w:rPr>
        <w:t>the Republic</w:t>
      </w:r>
      <w:r>
        <w:rPr>
          <w:rFonts w:ascii="Times New Roman" w:hAnsi="Times New Roman"/>
          <w:sz w:val="24"/>
          <w:szCs w:val="24"/>
          <w:lang w:val="en-US"/>
        </w:rPr>
        <w:t xml:space="preserve"> of </w:t>
      </w:r>
      <w:r w:rsidRPr="00E6386C">
        <w:rPr>
          <w:rFonts w:ascii="Times New Roman" w:hAnsi="Times New Roman"/>
          <w:sz w:val="24"/>
          <w:szCs w:val="24"/>
          <w:lang w:val="en-US"/>
        </w:rPr>
        <w:t xml:space="preserve">Lithuanian </w:t>
      </w:r>
      <w:r>
        <w:rPr>
          <w:rFonts w:ascii="Times New Roman" w:hAnsi="Times New Roman"/>
          <w:sz w:val="24"/>
          <w:szCs w:val="24"/>
          <w:lang w:val="en-US"/>
        </w:rPr>
        <w:t xml:space="preserve">by </w:t>
      </w:r>
      <w:r w:rsidRPr="00E6386C">
        <w:rPr>
          <w:rFonts w:ascii="Times New Roman" w:hAnsi="Times New Roman"/>
          <w:sz w:val="24"/>
          <w:szCs w:val="24"/>
          <w:lang w:val="en-US"/>
        </w:rPr>
        <w:t xml:space="preserve">the </w:t>
      </w:r>
      <w:r>
        <w:rPr>
          <w:rFonts w:ascii="Times New Roman" w:hAnsi="Times New Roman"/>
          <w:sz w:val="24"/>
          <w:szCs w:val="24"/>
          <w:lang w:val="en-US"/>
        </w:rPr>
        <w:t xml:space="preserve">draft on </w:t>
      </w:r>
      <w:r w:rsidRPr="00E6386C">
        <w:rPr>
          <w:rFonts w:ascii="Times New Roman" w:hAnsi="Times New Roman"/>
          <w:sz w:val="24"/>
          <w:szCs w:val="24"/>
          <w:lang w:val="en-US"/>
        </w:rPr>
        <w:t xml:space="preserve">Pharmacy Act </w:t>
      </w:r>
      <w:r>
        <w:rPr>
          <w:rFonts w:ascii="Times New Roman" w:hAnsi="Times New Roman"/>
          <w:sz w:val="24"/>
          <w:szCs w:val="24"/>
          <w:lang w:val="en-US"/>
        </w:rPr>
        <w:t>offers to supplement articles</w:t>
      </w:r>
      <w:r w:rsidRPr="00E6386C">
        <w:rPr>
          <w:rFonts w:ascii="Times New Roman" w:hAnsi="Times New Roman"/>
          <w:sz w:val="24"/>
          <w:szCs w:val="24"/>
          <w:lang w:val="en-US"/>
        </w:rPr>
        <w:t xml:space="preserve">, </w:t>
      </w:r>
      <w:r w:rsidRPr="000C7E60">
        <w:rPr>
          <w:rFonts w:ascii="Times New Roman" w:hAnsi="Times New Roman"/>
          <w:b/>
          <w:sz w:val="24"/>
          <w:szCs w:val="24"/>
          <w:lang w:val="en-US"/>
        </w:rPr>
        <w:t>which would allow non-prescription pharmaceutical products sold in retail outlets to residents and activities will be not licensing</w:t>
      </w:r>
      <w:r w:rsidRPr="00E6386C">
        <w:rPr>
          <w:rFonts w:ascii="Times New Roman" w:hAnsi="Times New Roman"/>
          <w:sz w:val="24"/>
          <w:szCs w:val="24"/>
          <w:lang w:val="en-US"/>
        </w:rPr>
        <w:t>. Health</w:t>
      </w:r>
      <w:r>
        <w:rPr>
          <w:rFonts w:ascii="Times New Roman" w:hAnsi="Times New Roman"/>
          <w:sz w:val="24"/>
          <w:szCs w:val="24"/>
          <w:lang w:val="en-US"/>
        </w:rPr>
        <w:t>’s Minister</w:t>
      </w:r>
      <w:r w:rsidRPr="00E6386C">
        <w:rPr>
          <w:rFonts w:ascii="Times New Roman" w:hAnsi="Times New Roman"/>
          <w:sz w:val="24"/>
          <w:szCs w:val="24"/>
          <w:lang w:val="en-US"/>
        </w:rPr>
        <w:t xml:space="preserve"> </w:t>
      </w:r>
      <w:r>
        <w:rPr>
          <w:rFonts w:ascii="Times New Roman" w:hAnsi="Times New Roman"/>
          <w:sz w:val="24"/>
          <w:szCs w:val="24"/>
          <w:lang w:val="en-US"/>
        </w:rPr>
        <w:t xml:space="preserve">will </w:t>
      </w:r>
      <w:r w:rsidRPr="00E6386C">
        <w:rPr>
          <w:rFonts w:ascii="Times New Roman" w:hAnsi="Times New Roman"/>
          <w:sz w:val="24"/>
          <w:szCs w:val="24"/>
          <w:lang w:val="en-US"/>
        </w:rPr>
        <w:t>approve</w:t>
      </w:r>
      <w:r>
        <w:rPr>
          <w:rFonts w:ascii="Times New Roman" w:hAnsi="Times New Roman"/>
          <w:sz w:val="24"/>
          <w:szCs w:val="24"/>
          <w:lang w:val="en-US"/>
        </w:rPr>
        <w:t xml:space="preserve"> </w:t>
      </w:r>
      <w:r w:rsidRPr="00E6386C">
        <w:rPr>
          <w:rFonts w:ascii="Times New Roman" w:hAnsi="Times New Roman"/>
          <w:sz w:val="24"/>
          <w:szCs w:val="24"/>
          <w:lang w:val="en-US"/>
        </w:rPr>
        <w:t xml:space="preserve">a list of non-prescription medicines. </w:t>
      </w:r>
      <w:r>
        <w:rPr>
          <w:rFonts w:ascii="Times New Roman" w:hAnsi="Times New Roman"/>
          <w:sz w:val="24"/>
          <w:szCs w:val="24"/>
          <w:lang w:val="en-US"/>
        </w:rPr>
        <w:t>By t</w:t>
      </w:r>
      <w:r w:rsidRPr="00E6386C">
        <w:rPr>
          <w:rFonts w:ascii="Times New Roman" w:hAnsi="Times New Roman"/>
          <w:sz w:val="24"/>
          <w:szCs w:val="24"/>
          <w:lang w:val="en-US"/>
        </w:rPr>
        <w:t xml:space="preserve">he project also </w:t>
      </w:r>
      <w:r>
        <w:rPr>
          <w:rFonts w:ascii="Times New Roman" w:hAnsi="Times New Roman"/>
          <w:sz w:val="24"/>
          <w:szCs w:val="24"/>
          <w:lang w:val="en-US"/>
        </w:rPr>
        <w:t xml:space="preserve">is proposed to refuse </w:t>
      </w:r>
      <w:r w:rsidRPr="00E6386C">
        <w:rPr>
          <w:rFonts w:ascii="Times New Roman" w:hAnsi="Times New Roman"/>
          <w:sz w:val="24"/>
          <w:szCs w:val="24"/>
          <w:lang w:val="en-US"/>
        </w:rPr>
        <w:t xml:space="preserve">restriction the activities of several </w:t>
      </w:r>
      <w:r>
        <w:rPr>
          <w:rFonts w:ascii="Times New Roman" w:hAnsi="Times New Roman"/>
          <w:sz w:val="24"/>
          <w:szCs w:val="24"/>
          <w:lang w:val="en-US"/>
        </w:rPr>
        <w:t xml:space="preserve">subjects of </w:t>
      </w:r>
      <w:r w:rsidRPr="00E6386C">
        <w:rPr>
          <w:rFonts w:ascii="Times New Roman" w:hAnsi="Times New Roman"/>
          <w:sz w:val="24"/>
          <w:szCs w:val="24"/>
          <w:lang w:val="en-US"/>
        </w:rPr>
        <w:t>pharmacy in the same building.</w:t>
      </w:r>
    </w:p>
    <w:p w:rsidR="003C08E7" w:rsidRDefault="003C08E7" w:rsidP="00640074">
      <w:pPr>
        <w:ind w:firstLine="502"/>
        <w:jc w:val="both"/>
        <w:rPr>
          <w:rFonts w:ascii="Times New Roman" w:hAnsi="Times New Roman"/>
          <w:sz w:val="24"/>
          <w:szCs w:val="24"/>
          <w:lang w:val="en-US"/>
        </w:rPr>
      </w:pPr>
      <w:r w:rsidRPr="00FC6A07">
        <w:rPr>
          <w:rFonts w:ascii="Times New Roman" w:hAnsi="Times New Roman"/>
          <w:sz w:val="24"/>
          <w:szCs w:val="24"/>
          <w:u w:val="single"/>
          <w:lang w:val="en-US"/>
        </w:rPr>
        <w:t>Remarks:</w:t>
      </w:r>
      <w:r>
        <w:rPr>
          <w:rFonts w:ascii="Times New Roman" w:hAnsi="Times New Roman"/>
          <w:sz w:val="24"/>
          <w:szCs w:val="24"/>
          <w:u w:val="single"/>
          <w:lang w:val="en-US"/>
        </w:rPr>
        <w:t xml:space="preserve"> </w:t>
      </w:r>
      <w:r w:rsidRPr="00FC6A07">
        <w:rPr>
          <w:rFonts w:ascii="Times New Roman" w:hAnsi="Times New Roman"/>
          <w:sz w:val="24"/>
          <w:szCs w:val="24"/>
          <w:lang w:val="en-US"/>
        </w:rPr>
        <w:t>1) If the subjects are allowed to trade in medicinal products in retail outlets occur</w:t>
      </w:r>
      <w:r>
        <w:rPr>
          <w:rFonts w:ascii="Times New Roman" w:hAnsi="Times New Roman"/>
          <w:sz w:val="24"/>
          <w:szCs w:val="24"/>
          <w:lang w:val="en-US"/>
        </w:rPr>
        <w:t>red</w:t>
      </w:r>
      <w:r w:rsidRPr="00FC6A07">
        <w:rPr>
          <w:rFonts w:ascii="Times New Roman" w:hAnsi="Times New Roman"/>
          <w:sz w:val="24"/>
          <w:szCs w:val="24"/>
          <w:lang w:val="en-US"/>
        </w:rPr>
        <w:t xml:space="preserve"> a flawed situation where some pharmacies engage in the activity subjects requires a license, while others - not. 2)</w:t>
      </w:r>
      <w:r>
        <w:rPr>
          <w:rFonts w:ascii="Times New Roman" w:hAnsi="Times New Roman"/>
          <w:sz w:val="24"/>
          <w:szCs w:val="24"/>
          <w:lang w:val="en-US"/>
        </w:rPr>
        <w:t xml:space="preserve"> From t</w:t>
      </w:r>
      <w:r w:rsidRPr="00FC6A07">
        <w:rPr>
          <w:rFonts w:ascii="Times New Roman" w:hAnsi="Times New Roman"/>
          <w:sz w:val="24"/>
          <w:szCs w:val="24"/>
          <w:lang w:val="en-US"/>
        </w:rPr>
        <w:t>he provisions of the draft is not clear what criteria would be selected for treatment to trade in the reta</w:t>
      </w:r>
      <w:r>
        <w:rPr>
          <w:rFonts w:ascii="Times New Roman" w:hAnsi="Times New Roman"/>
          <w:sz w:val="24"/>
          <w:szCs w:val="24"/>
          <w:lang w:val="en-US"/>
        </w:rPr>
        <w:t>il trade and ensure a safety</w:t>
      </w:r>
      <w:r w:rsidRPr="00FC6A07">
        <w:rPr>
          <w:rFonts w:ascii="Times New Roman" w:hAnsi="Times New Roman"/>
          <w:sz w:val="24"/>
          <w:szCs w:val="24"/>
          <w:lang w:val="en-US"/>
        </w:rPr>
        <w:t>. 3) We have an anti-corruption assessment report</w:t>
      </w:r>
      <w:r>
        <w:rPr>
          <w:rFonts w:ascii="Times New Roman" w:hAnsi="Times New Roman"/>
          <w:sz w:val="24"/>
          <w:szCs w:val="24"/>
          <w:lang w:val="en-US"/>
        </w:rPr>
        <w:t xml:space="preserve">, where we offer </w:t>
      </w:r>
      <w:r w:rsidRPr="00FC6A07">
        <w:rPr>
          <w:rFonts w:ascii="Times New Roman" w:hAnsi="Times New Roman"/>
          <w:sz w:val="24"/>
          <w:szCs w:val="24"/>
          <w:lang w:val="en-US"/>
        </w:rPr>
        <w:t>to consider</w:t>
      </w:r>
      <w:r>
        <w:rPr>
          <w:rFonts w:ascii="Times New Roman" w:hAnsi="Times New Roman"/>
          <w:sz w:val="24"/>
          <w:szCs w:val="24"/>
          <w:lang w:val="en-US"/>
        </w:rPr>
        <w:t xml:space="preserve"> </w:t>
      </w:r>
      <w:r w:rsidRPr="00FC6A07">
        <w:rPr>
          <w:rFonts w:ascii="Times New Roman" w:hAnsi="Times New Roman"/>
          <w:sz w:val="24"/>
          <w:szCs w:val="24"/>
          <w:lang w:val="en-US"/>
        </w:rPr>
        <w:t>implementing legislation and t</w:t>
      </w:r>
      <w:r>
        <w:rPr>
          <w:rFonts w:ascii="Times New Roman" w:hAnsi="Times New Roman"/>
          <w:sz w:val="24"/>
          <w:szCs w:val="24"/>
          <w:lang w:val="en-US"/>
        </w:rPr>
        <w:t>he development of their drafts</w:t>
      </w:r>
      <w:r w:rsidRPr="00FC6A07">
        <w:rPr>
          <w:rFonts w:ascii="Times New Roman" w:hAnsi="Times New Roman"/>
          <w:sz w:val="24"/>
          <w:szCs w:val="24"/>
          <w:lang w:val="en-US"/>
        </w:rPr>
        <w:t xml:space="preserve"> in order to reduce th</w:t>
      </w:r>
      <w:r>
        <w:rPr>
          <w:rFonts w:ascii="Times New Roman" w:hAnsi="Times New Roman"/>
          <w:sz w:val="24"/>
          <w:szCs w:val="24"/>
          <w:lang w:val="en-US"/>
        </w:rPr>
        <w:t>e margin of discretion entities</w:t>
      </w:r>
      <w:r>
        <w:rPr>
          <w:rStyle w:val="FootnoteReference"/>
          <w:rFonts w:ascii="Times New Roman" w:hAnsi="Times New Roman"/>
          <w:sz w:val="24"/>
          <w:szCs w:val="24"/>
          <w:lang w:val="en-US"/>
        </w:rPr>
        <w:footnoteReference w:id="5"/>
      </w:r>
      <w:r>
        <w:rPr>
          <w:rFonts w:ascii="Times New Roman" w:hAnsi="Times New Roman"/>
          <w:sz w:val="24"/>
          <w:szCs w:val="24"/>
          <w:lang w:val="en-US"/>
        </w:rPr>
        <w:t>.</w:t>
      </w:r>
    </w:p>
    <w:p w:rsidR="003C08E7" w:rsidRDefault="003C08E7" w:rsidP="009A247C">
      <w:pPr>
        <w:pStyle w:val="ListParagraph"/>
        <w:numPr>
          <w:ilvl w:val="0"/>
          <w:numId w:val="1"/>
        </w:numPr>
        <w:rPr>
          <w:rFonts w:ascii="Times New Roman" w:hAnsi="Times New Roman"/>
          <w:b/>
          <w:sz w:val="24"/>
          <w:szCs w:val="24"/>
        </w:rPr>
      </w:pPr>
      <w:r w:rsidRPr="000C7E60">
        <w:rPr>
          <w:rFonts w:ascii="Times New Roman" w:hAnsi="Times New Roman"/>
          <w:b/>
          <w:sz w:val="24"/>
          <w:szCs w:val="24"/>
        </w:rPr>
        <w:t>Law on deep earth of the Republic of Lithuania</w:t>
      </w:r>
    </w:p>
    <w:p w:rsidR="003C08E7" w:rsidRPr="000C7E60" w:rsidRDefault="003C08E7" w:rsidP="00640074">
      <w:pPr>
        <w:ind w:firstLine="502"/>
        <w:jc w:val="both"/>
        <w:rPr>
          <w:rFonts w:ascii="Times New Roman" w:hAnsi="Times New Roman"/>
          <w:b/>
          <w:sz w:val="24"/>
          <w:szCs w:val="24"/>
        </w:rPr>
      </w:pPr>
      <w:r w:rsidRPr="0096101C">
        <w:rPr>
          <w:rFonts w:ascii="Times New Roman" w:hAnsi="Times New Roman"/>
          <w:sz w:val="24"/>
          <w:szCs w:val="24"/>
          <w:u w:val="single"/>
        </w:rPr>
        <w:t>Situation:</w:t>
      </w:r>
      <w:r w:rsidRPr="000C7E60">
        <w:rPr>
          <w:rFonts w:ascii="Times New Roman" w:hAnsi="Times New Roman"/>
          <w:sz w:val="24"/>
          <w:szCs w:val="24"/>
        </w:rPr>
        <w:t xml:space="preserve"> Seimas</w:t>
      </w:r>
      <w:r>
        <w:rPr>
          <w:rFonts w:ascii="Times New Roman" w:hAnsi="Times New Roman"/>
          <w:sz w:val="24"/>
          <w:szCs w:val="24"/>
        </w:rPr>
        <w:t>‘s</w:t>
      </w:r>
      <w:r w:rsidRPr="000C7E60">
        <w:rPr>
          <w:rFonts w:ascii="Times New Roman" w:hAnsi="Times New Roman"/>
          <w:sz w:val="24"/>
          <w:szCs w:val="24"/>
        </w:rPr>
        <w:t xml:space="preserve"> Ant</w:t>
      </w:r>
      <w:r>
        <w:rPr>
          <w:rFonts w:ascii="Times New Roman" w:hAnsi="Times New Roman"/>
          <w:sz w:val="24"/>
          <w:szCs w:val="24"/>
        </w:rPr>
        <w:t>i-Corruption Commission asks STT</w:t>
      </w:r>
      <w:r w:rsidRPr="000C7E60">
        <w:rPr>
          <w:rFonts w:ascii="Times New Roman" w:hAnsi="Times New Roman"/>
          <w:sz w:val="24"/>
          <w:szCs w:val="24"/>
        </w:rPr>
        <w:t xml:space="preserve"> to evaluate the</w:t>
      </w:r>
      <w:r>
        <w:rPr>
          <w:rFonts w:ascii="Times New Roman" w:hAnsi="Times New Roman"/>
          <w:sz w:val="24"/>
          <w:szCs w:val="24"/>
        </w:rPr>
        <w:t xml:space="preserve"> supplement draft of the Law on</w:t>
      </w:r>
      <w:r w:rsidRPr="000C7E60">
        <w:rPr>
          <w:rFonts w:ascii="Times New Roman" w:hAnsi="Times New Roman"/>
          <w:sz w:val="24"/>
          <w:szCs w:val="24"/>
        </w:rPr>
        <w:t xml:space="preserve"> deep earth</w:t>
      </w:r>
      <w:r>
        <w:rPr>
          <w:rFonts w:ascii="Times New Roman" w:hAnsi="Times New Roman"/>
          <w:sz w:val="24"/>
          <w:szCs w:val="24"/>
        </w:rPr>
        <w:t>. STT</w:t>
      </w:r>
      <w:r w:rsidRPr="000C7E60">
        <w:rPr>
          <w:rFonts w:ascii="Times New Roman" w:hAnsi="Times New Roman"/>
          <w:sz w:val="24"/>
          <w:szCs w:val="24"/>
        </w:rPr>
        <w:t xml:space="preserve"> analyzed the </w:t>
      </w:r>
      <w:r>
        <w:rPr>
          <w:rFonts w:ascii="Times New Roman" w:hAnsi="Times New Roman"/>
          <w:sz w:val="24"/>
          <w:szCs w:val="24"/>
        </w:rPr>
        <w:t>draft</w:t>
      </w:r>
      <w:r w:rsidRPr="000C7E60">
        <w:rPr>
          <w:rFonts w:ascii="Times New Roman" w:hAnsi="Times New Roman"/>
          <w:sz w:val="24"/>
          <w:szCs w:val="24"/>
        </w:rPr>
        <w:t xml:space="preserve"> found that</w:t>
      </w:r>
      <w:r>
        <w:rPr>
          <w:rFonts w:ascii="Times New Roman" w:hAnsi="Times New Roman"/>
          <w:sz w:val="24"/>
          <w:szCs w:val="24"/>
        </w:rPr>
        <w:t xml:space="preserve"> in</w:t>
      </w:r>
      <w:r w:rsidRPr="000C7E60">
        <w:rPr>
          <w:rFonts w:ascii="Times New Roman" w:hAnsi="Times New Roman"/>
          <w:sz w:val="24"/>
          <w:szCs w:val="24"/>
        </w:rPr>
        <w:t xml:space="preserve"> the project emphasized </w:t>
      </w:r>
      <w:r w:rsidRPr="000C7E60">
        <w:rPr>
          <w:rFonts w:ascii="Times New Roman" w:hAnsi="Times New Roman"/>
          <w:b/>
          <w:sz w:val="24"/>
          <w:szCs w:val="24"/>
        </w:rPr>
        <w:t>that in all cases is prepared plan for  using the deep earth, the content of the plan is determined by the government.</w:t>
      </w:r>
    </w:p>
    <w:p w:rsidR="003C08E7" w:rsidRDefault="003C08E7" w:rsidP="00640074">
      <w:pPr>
        <w:ind w:firstLine="502"/>
        <w:jc w:val="both"/>
        <w:rPr>
          <w:rFonts w:ascii="Times New Roman" w:hAnsi="Times New Roman"/>
          <w:sz w:val="24"/>
          <w:szCs w:val="24"/>
        </w:rPr>
      </w:pPr>
      <w:r w:rsidRPr="0096101C">
        <w:rPr>
          <w:rFonts w:ascii="Times New Roman" w:hAnsi="Times New Roman"/>
          <w:sz w:val="24"/>
          <w:szCs w:val="24"/>
          <w:u w:val="single"/>
        </w:rPr>
        <w:t>Remarks:</w:t>
      </w:r>
      <w:r>
        <w:rPr>
          <w:rFonts w:ascii="Times New Roman" w:hAnsi="Times New Roman"/>
          <w:b/>
          <w:sz w:val="24"/>
          <w:szCs w:val="24"/>
        </w:rPr>
        <w:t xml:space="preserve"> </w:t>
      </w:r>
      <w:r>
        <w:rPr>
          <w:rFonts w:ascii="Times New Roman" w:hAnsi="Times New Roman"/>
          <w:sz w:val="24"/>
          <w:szCs w:val="24"/>
        </w:rPr>
        <w:t xml:space="preserve">performed </w:t>
      </w:r>
      <w:r w:rsidRPr="000C7E60">
        <w:rPr>
          <w:rFonts w:ascii="Times New Roman" w:hAnsi="Times New Roman"/>
          <w:sz w:val="24"/>
          <w:szCs w:val="24"/>
        </w:rPr>
        <w:t>the anti-corruption assessment revealed that</w:t>
      </w:r>
      <w:r>
        <w:rPr>
          <w:rFonts w:ascii="Times New Roman" w:hAnsi="Times New Roman"/>
          <w:sz w:val="24"/>
          <w:szCs w:val="24"/>
        </w:rPr>
        <w:t xml:space="preserve"> in</w:t>
      </w:r>
      <w:r w:rsidRPr="000C7E60">
        <w:rPr>
          <w:rFonts w:ascii="Times New Roman" w:hAnsi="Times New Roman"/>
          <w:sz w:val="24"/>
          <w:szCs w:val="24"/>
        </w:rPr>
        <w:t xml:space="preserve"> the </w:t>
      </w:r>
      <w:r>
        <w:rPr>
          <w:rFonts w:ascii="Times New Roman" w:hAnsi="Times New Roman"/>
          <w:sz w:val="24"/>
          <w:szCs w:val="24"/>
        </w:rPr>
        <w:t xml:space="preserve">draft is not set deep earth </w:t>
      </w:r>
      <w:r w:rsidRPr="000C7E60">
        <w:rPr>
          <w:rFonts w:ascii="Times New Roman" w:hAnsi="Times New Roman"/>
          <w:sz w:val="24"/>
          <w:szCs w:val="24"/>
        </w:rPr>
        <w:t>procedures</w:t>
      </w:r>
      <w:r>
        <w:rPr>
          <w:rFonts w:ascii="Times New Roman" w:hAnsi="Times New Roman"/>
          <w:sz w:val="24"/>
          <w:szCs w:val="24"/>
        </w:rPr>
        <w:t xml:space="preserve"> of </w:t>
      </w:r>
      <w:r w:rsidRPr="000C7E60">
        <w:rPr>
          <w:rFonts w:ascii="Times New Roman" w:hAnsi="Times New Roman"/>
          <w:sz w:val="24"/>
          <w:szCs w:val="24"/>
        </w:rPr>
        <w:t>plans</w:t>
      </w:r>
      <w:r>
        <w:rPr>
          <w:rFonts w:ascii="Times New Roman" w:hAnsi="Times New Roman"/>
          <w:sz w:val="24"/>
          <w:szCs w:val="24"/>
        </w:rPr>
        <w:t xml:space="preserve"> use</w:t>
      </w:r>
      <w:r w:rsidRPr="000C7E60">
        <w:rPr>
          <w:rFonts w:ascii="Times New Roman" w:hAnsi="Times New Roman"/>
          <w:sz w:val="24"/>
          <w:szCs w:val="24"/>
        </w:rPr>
        <w:t xml:space="preserve"> and coordination,</w:t>
      </w:r>
      <w:r>
        <w:rPr>
          <w:rFonts w:ascii="Times New Roman" w:hAnsi="Times New Roman"/>
          <w:sz w:val="24"/>
          <w:szCs w:val="24"/>
        </w:rPr>
        <w:t xml:space="preserve"> </w:t>
      </w:r>
      <w:r w:rsidRPr="0096101C">
        <w:rPr>
          <w:rFonts w:ascii="Times New Roman" w:hAnsi="Times New Roman"/>
          <w:sz w:val="24"/>
          <w:szCs w:val="24"/>
        </w:rPr>
        <w:t>not set legislation</w:t>
      </w:r>
      <w:r w:rsidRPr="000C7E60">
        <w:rPr>
          <w:rFonts w:ascii="Times New Roman" w:hAnsi="Times New Roman"/>
          <w:sz w:val="24"/>
          <w:szCs w:val="24"/>
        </w:rPr>
        <w:t>, which is drawing up plans</w:t>
      </w:r>
      <w:r>
        <w:rPr>
          <w:rFonts w:ascii="Times New Roman" w:hAnsi="Times New Roman"/>
          <w:sz w:val="24"/>
          <w:szCs w:val="24"/>
        </w:rPr>
        <w:t>, also isn‘t clear</w:t>
      </w:r>
      <w:r w:rsidRPr="000C7E60">
        <w:rPr>
          <w:rFonts w:ascii="Times New Roman" w:hAnsi="Times New Roman"/>
          <w:sz w:val="24"/>
          <w:szCs w:val="24"/>
        </w:rPr>
        <w:t xml:space="preserve"> </w:t>
      </w:r>
      <w:r>
        <w:rPr>
          <w:rFonts w:ascii="Times New Roman" w:hAnsi="Times New Roman"/>
          <w:sz w:val="24"/>
          <w:szCs w:val="24"/>
        </w:rPr>
        <w:t xml:space="preserve">this plants </w:t>
      </w:r>
      <w:r w:rsidRPr="000C7E60">
        <w:rPr>
          <w:rFonts w:ascii="Times New Roman" w:hAnsi="Times New Roman"/>
          <w:sz w:val="24"/>
          <w:szCs w:val="24"/>
        </w:rPr>
        <w:t xml:space="preserve">relationship with the spatial planning legislation. It follows that the procedures </w:t>
      </w:r>
      <w:r>
        <w:rPr>
          <w:rFonts w:ascii="Times New Roman" w:hAnsi="Times New Roman"/>
          <w:sz w:val="24"/>
          <w:szCs w:val="24"/>
        </w:rPr>
        <w:t xml:space="preserve">of </w:t>
      </w:r>
      <w:r w:rsidRPr="000C7E60">
        <w:rPr>
          <w:rFonts w:ascii="Times New Roman" w:hAnsi="Times New Roman"/>
          <w:sz w:val="24"/>
          <w:szCs w:val="24"/>
        </w:rPr>
        <w:t xml:space="preserve">deep earth plan preparation will be </w:t>
      </w:r>
      <w:r>
        <w:rPr>
          <w:rFonts w:ascii="Times New Roman" w:hAnsi="Times New Roman"/>
          <w:sz w:val="24"/>
          <w:szCs w:val="24"/>
        </w:rPr>
        <w:t>not transparent. STT</w:t>
      </w:r>
      <w:r w:rsidRPr="000C7E60">
        <w:rPr>
          <w:rFonts w:ascii="Times New Roman" w:hAnsi="Times New Roman"/>
          <w:sz w:val="24"/>
          <w:szCs w:val="24"/>
        </w:rPr>
        <w:t xml:space="preserve"> o</w:t>
      </w:r>
      <w:r>
        <w:rPr>
          <w:rFonts w:ascii="Times New Roman" w:hAnsi="Times New Roman"/>
          <w:sz w:val="24"/>
          <w:szCs w:val="24"/>
        </w:rPr>
        <w:t>ffers this procedure to improve</w:t>
      </w:r>
      <w:r>
        <w:rPr>
          <w:rStyle w:val="FootnoteReference"/>
          <w:rFonts w:ascii="Times New Roman" w:hAnsi="Times New Roman"/>
          <w:sz w:val="24"/>
          <w:szCs w:val="24"/>
        </w:rPr>
        <w:footnoteReference w:id="6"/>
      </w:r>
      <w:r>
        <w:rPr>
          <w:rFonts w:ascii="Times New Roman" w:hAnsi="Times New Roman"/>
          <w:sz w:val="24"/>
          <w:szCs w:val="24"/>
        </w:rPr>
        <w:t>.</w:t>
      </w:r>
    </w:p>
    <w:p w:rsidR="003C08E7" w:rsidRDefault="003C08E7" w:rsidP="009A247C">
      <w:pPr>
        <w:pStyle w:val="ListParagraph"/>
        <w:numPr>
          <w:ilvl w:val="0"/>
          <w:numId w:val="1"/>
        </w:numPr>
        <w:rPr>
          <w:rFonts w:ascii="Times New Roman" w:hAnsi="Times New Roman"/>
          <w:b/>
          <w:sz w:val="24"/>
          <w:szCs w:val="24"/>
        </w:rPr>
      </w:pPr>
      <w:r w:rsidRPr="0096101C">
        <w:rPr>
          <w:rFonts w:ascii="Times New Roman" w:hAnsi="Times New Roman"/>
          <w:b/>
          <w:sz w:val="24"/>
          <w:szCs w:val="24"/>
        </w:rPr>
        <w:t xml:space="preserve">Law on Official Ethics Commission of the Republic of Lithuania </w:t>
      </w:r>
    </w:p>
    <w:p w:rsidR="003C08E7" w:rsidRDefault="003C08E7" w:rsidP="009A247C">
      <w:pPr>
        <w:spacing w:after="0"/>
        <w:ind w:left="142" w:firstLine="360"/>
        <w:jc w:val="both"/>
        <w:rPr>
          <w:rFonts w:ascii="Times New Roman" w:hAnsi="Times New Roman"/>
          <w:sz w:val="24"/>
          <w:szCs w:val="24"/>
          <w:lang w:eastAsia="lt-LT"/>
        </w:rPr>
      </w:pPr>
      <w:r w:rsidRPr="00F96FA4">
        <w:rPr>
          <w:rFonts w:ascii="Times New Roman" w:hAnsi="Times New Roman"/>
          <w:sz w:val="24"/>
          <w:szCs w:val="24"/>
          <w:u w:val="single"/>
          <w:lang w:eastAsia="lt-LT"/>
        </w:rPr>
        <w:t>Situation:</w:t>
      </w:r>
      <w:r w:rsidRPr="0096101C">
        <w:rPr>
          <w:rFonts w:ascii="Times New Roman" w:hAnsi="Times New Roman"/>
          <w:sz w:val="24"/>
          <w:szCs w:val="24"/>
          <w:lang w:eastAsia="lt-LT"/>
        </w:rPr>
        <w:t xml:space="preserve"> Seimas of the Republic of Lithuania </w:t>
      </w:r>
      <w:r>
        <w:rPr>
          <w:rFonts w:ascii="Times New Roman" w:hAnsi="Times New Roman"/>
          <w:sz w:val="24"/>
          <w:szCs w:val="24"/>
          <w:lang w:eastAsia="lt-LT"/>
        </w:rPr>
        <w:t xml:space="preserve">by the </w:t>
      </w:r>
      <w:r w:rsidRPr="0096101C">
        <w:rPr>
          <w:rFonts w:ascii="Times New Roman" w:hAnsi="Times New Roman"/>
          <w:sz w:val="24"/>
          <w:szCs w:val="24"/>
          <w:lang w:eastAsia="lt-LT"/>
        </w:rPr>
        <w:t>Law on Official Ethics Commission</w:t>
      </w:r>
      <w:r>
        <w:rPr>
          <w:rFonts w:ascii="Times New Roman" w:hAnsi="Times New Roman"/>
          <w:sz w:val="24"/>
          <w:szCs w:val="24"/>
          <w:lang w:eastAsia="lt-LT"/>
        </w:rPr>
        <w:t xml:space="preserve"> draft</w:t>
      </w:r>
      <w:r w:rsidRPr="0096101C">
        <w:rPr>
          <w:rFonts w:ascii="Times New Roman" w:hAnsi="Times New Roman"/>
          <w:sz w:val="24"/>
          <w:szCs w:val="24"/>
          <w:lang w:eastAsia="lt-LT"/>
        </w:rPr>
        <w:t xml:space="preserve"> </w:t>
      </w:r>
      <w:r>
        <w:rPr>
          <w:rFonts w:ascii="Times New Roman" w:hAnsi="Times New Roman"/>
          <w:sz w:val="24"/>
          <w:szCs w:val="24"/>
          <w:lang w:eastAsia="lt-LT"/>
        </w:rPr>
        <w:t>s</w:t>
      </w:r>
      <w:r w:rsidRPr="0096101C">
        <w:rPr>
          <w:rFonts w:ascii="Times New Roman" w:hAnsi="Times New Roman"/>
          <w:sz w:val="24"/>
          <w:szCs w:val="24"/>
          <w:lang w:eastAsia="lt-LT"/>
        </w:rPr>
        <w:t xml:space="preserve">upplementing proposes to create preconditions for the Ethics Commission to work more efficiently and effectively. </w:t>
      </w:r>
      <w:r>
        <w:rPr>
          <w:rFonts w:ascii="Times New Roman" w:hAnsi="Times New Roman"/>
          <w:sz w:val="24"/>
          <w:szCs w:val="24"/>
          <w:lang w:eastAsia="lt-LT"/>
        </w:rPr>
        <w:t>By t</w:t>
      </w:r>
      <w:r w:rsidRPr="0096101C">
        <w:rPr>
          <w:rFonts w:ascii="Times New Roman" w:hAnsi="Times New Roman"/>
          <w:sz w:val="24"/>
          <w:szCs w:val="24"/>
          <w:lang w:eastAsia="lt-LT"/>
        </w:rPr>
        <w:t xml:space="preserve">he </w:t>
      </w:r>
      <w:r>
        <w:rPr>
          <w:rFonts w:ascii="Times New Roman" w:hAnsi="Times New Roman"/>
          <w:sz w:val="24"/>
          <w:szCs w:val="24"/>
          <w:lang w:eastAsia="lt-LT"/>
        </w:rPr>
        <w:t>draft</w:t>
      </w:r>
      <w:r w:rsidRPr="0096101C">
        <w:rPr>
          <w:rFonts w:ascii="Times New Roman" w:hAnsi="Times New Roman"/>
          <w:sz w:val="24"/>
          <w:szCs w:val="24"/>
          <w:lang w:eastAsia="lt-LT"/>
        </w:rPr>
        <w:t xml:space="preserve"> is proposed to commission</w:t>
      </w:r>
      <w:r>
        <w:rPr>
          <w:rFonts w:ascii="Times New Roman" w:hAnsi="Times New Roman"/>
          <w:sz w:val="24"/>
          <w:szCs w:val="24"/>
          <w:lang w:eastAsia="lt-LT"/>
        </w:rPr>
        <w:t>’s</w:t>
      </w:r>
      <w:r w:rsidRPr="0096101C">
        <w:rPr>
          <w:rFonts w:ascii="Times New Roman" w:hAnsi="Times New Roman"/>
          <w:sz w:val="24"/>
          <w:szCs w:val="24"/>
          <w:lang w:eastAsia="lt-LT"/>
        </w:rPr>
        <w:t xml:space="preserve"> member - a candidate</w:t>
      </w:r>
      <w:r>
        <w:rPr>
          <w:rFonts w:ascii="Times New Roman" w:hAnsi="Times New Roman"/>
          <w:sz w:val="24"/>
          <w:szCs w:val="24"/>
          <w:lang w:eastAsia="lt-LT"/>
        </w:rPr>
        <w:t xml:space="preserve"> to</w:t>
      </w:r>
      <w:r w:rsidRPr="0096101C">
        <w:rPr>
          <w:rFonts w:ascii="Times New Roman" w:hAnsi="Times New Roman"/>
          <w:sz w:val="24"/>
          <w:szCs w:val="24"/>
          <w:lang w:eastAsia="lt-LT"/>
        </w:rPr>
        <w:t xml:space="preserve"> set 5 years of service.</w:t>
      </w:r>
    </w:p>
    <w:p w:rsidR="003C08E7" w:rsidRPr="00F96FA4" w:rsidRDefault="003C08E7" w:rsidP="009A247C">
      <w:pPr>
        <w:spacing w:after="0"/>
        <w:ind w:left="142" w:firstLine="360"/>
        <w:jc w:val="both"/>
        <w:rPr>
          <w:rFonts w:ascii="Times New Roman" w:hAnsi="Times New Roman"/>
          <w:sz w:val="24"/>
          <w:szCs w:val="24"/>
          <w:lang w:eastAsia="lt-LT"/>
        </w:rPr>
      </w:pPr>
      <w:r w:rsidRPr="00F96FA4">
        <w:rPr>
          <w:rFonts w:ascii="Times New Roman" w:hAnsi="Times New Roman"/>
          <w:sz w:val="24"/>
          <w:szCs w:val="24"/>
          <w:u w:val="single"/>
          <w:lang w:eastAsia="lt-LT"/>
        </w:rPr>
        <w:t>Remarks:</w:t>
      </w:r>
      <w:r w:rsidRPr="00F96FA4">
        <w:rPr>
          <w:rFonts w:ascii="Times New Roman" w:hAnsi="Times New Roman"/>
          <w:sz w:val="24"/>
          <w:szCs w:val="24"/>
          <w:lang w:eastAsia="lt-LT"/>
        </w:rPr>
        <w:t xml:space="preserve"> </w:t>
      </w:r>
      <w:r>
        <w:rPr>
          <w:rFonts w:ascii="Times New Roman" w:hAnsi="Times New Roman"/>
          <w:sz w:val="24"/>
          <w:szCs w:val="24"/>
          <w:lang w:eastAsia="lt-LT"/>
        </w:rPr>
        <w:t xml:space="preserve">there isn‘t </w:t>
      </w:r>
      <w:r w:rsidRPr="00F96FA4">
        <w:rPr>
          <w:rFonts w:ascii="Times New Roman" w:hAnsi="Times New Roman"/>
          <w:sz w:val="24"/>
          <w:szCs w:val="24"/>
          <w:lang w:eastAsia="lt-LT"/>
        </w:rPr>
        <w:t>specified the ratio of required work experience with the</w:t>
      </w:r>
      <w:r>
        <w:rPr>
          <w:rFonts w:ascii="Times New Roman" w:hAnsi="Times New Roman"/>
          <w:sz w:val="24"/>
          <w:szCs w:val="24"/>
          <w:lang w:eastAsia="lt-LT"/>
        </w:rPr>
        <w:t xml:space="preserve"> duties of </w:t>
      </w:r>
      <w:r w:rsidRPr="00F96FA4">
        <w:rPr>
          <w:rFonts w:ascii="Times New Roman" w:hAnsi="Times New Roman"/>
          <w:sz w:val="24"/>
          <w:szCs w:val="24"/>
          <w:lang w:eastAsia="lt-LT"/>
        </w:rPr>
        <w:t xml:space="preserve"> </w:t>
      </w:r>
      <w:r>
        <w:rPr>
          <w:rFonts w:ascii="Times New Roman" w:hAnsi="Times New Roman"/>
          <w:sz w:val="24"/>
          <w:szCs w:val="24"/>
          <w:lang w:eastAsia="lt-LT"/>
        </w:rPr>
        <w:t>Comission‘s member</w:t>
      </w:r>
      <w:r w:rsidRPr="00F96FA4">
        <w:rPr>
          <w:rFonts w:ascii="Times New Roman" w:hAnsi="Times New Roman"/>
          <w:sz w:val="24"/>
          <w:szCs w:val="24"/>
          <w:lang w:eastAsia="lt-LT"/>
        </w:rPr>
        <w:t>. In order to</w:t>
      </w:r>
      <w:r>
        <w:rPr>
          <w:rFonts w:ascii="Times New Roman" w:hAnsi="Times New Roman"/>
          <w:sz w:val="24"/>
          <w:szCs w:val="24"/>
          <w:lang w:eastAsia="lt-LT"/>
        </w:rPr>
        <w:t xml:space="preserve"> </w:t>
      </w:r>
      <w:r w:rsidRPr="00F96FA4">
        <w:rPr>
          <w:rFonts w:ascii="Times New Roman" w:hAnsi="Times New Roman"/>
          <w:sz w:val="24"/>
          <w:szCs w:val="24"/>
          <w:lang w:eastAsia="lt-LT"/>
        </w:rPr>
        <w:t>the transparency</w:t>
      </w:r>
      <w:r>
        <w:rPr>
          <w:rFonts w:ascii="Times New Roman" w:hAnsi="Times New Roman"/>
          <w:sz w:val="24"/>
          <w:szCs w:val="24"/>
          <w:lang w:eastAsia="lt-LT"/>
        </w:rPr>
        <w:t>, proposed to</w:t>
      </w:r>
      <w:r w:rsidRPr="00F96FA4">
        <w:rPr>
          <w:rFonts w:ascii="Times New Roman" w:hAnsi="Times New Roman"/>
          <w:sz w:val="24"/>
          <w:szCs w:val="24"/>
          <w:lang w:eastAsia="lt-LT"/>
        </w:rPr>
        <w:t xml:space="preserve"> determine </w:t>
      </w:r>
      <w:r>
        <w:rPr>
          <w:rFonts w:ascii="Times New Roman" w:hAnsi="Times New Roman"/>
          <w:sz w:val="24"/>
          <w:szCs w:val="24"/>
          <w:lang w:eastAsia="lt-LT"/>
        </w:rPr>
        <w:t>what</w:t>
      </w:r>
      <w:r w:rsidRPr="00F96FA4">
        <w:rPr>
          <w:rFonts w:ascii="Times New Roman" w:hAnsi="Times New Roman"/>
          <w:sz w:val="24"/>
          <w:szCs w:val="24"/>
          <w:lang w:eastAsia="lt-LT"/>
        </w:rPr>
        <w:t xml:space="preserve"> type of experience needed to take the Commissioner's office. The </w:t>
      </w:r>
      <w:r>
        <w:rPr>
          <w:rFonts w:ascii="Times New Roman" w:hAnsi="Times New Roman"/>
          <w:sz w:val="24"/>
          <w:szCs w:val="24"/>
          <w:lang w:eastAsia="lt-LT"/>
        </w:rPr>
        <w:t xml:space="preserve">draft </w:t>
      </w:r>
      <w:r w:rsidRPr="00F96FA4">
        <w:rPr>
          <w:rFonts w:ascii="Times New Roman" w:hAnsi="Times New Roman"/>
          <w:sz w:val="24"/>
          <w:szCs w:val="24"/>
          <w:lang w:eastAsia="lt-LT"/>
        </w:rPr>
        <w:t xml:space="preserve"> also provides for the </w:t>
      </w:r>
      <w:r>
        <w:rPr>
          <w:rFonts w:ascii="Times New Roman" w:hAnsi="Times New Roman"/>
          <w:sz w:val="24"/>
          <w:szCs w:val="24"/>
          <w:lang w:eastAsia="lt-LT"/>
        </w:rPr>
        <w:t xml:space="preserve">member of </w:t>
      </w:r>
      <w:r w:rsidRPr="00F96FA4">
        <w:rPr>
          <w:rFonts w:ascii="Times New Roman" w:hAnsi="Times New Roman"/>
          <w:sz w:val="24"/>
          <w:szCs w:val="24"/>
          <w:lang w:eastAsia="lt-LT"/>
        </w:rPr>
        <w:t xml:space="preserve">Commission shall not have the right to publish opinions or comments, to bring in the deliberation room, and </w:t>
      </w:r>
      <w:r>
        <w:rPr>
          <w:rFonts w:ascii="Times New Roman" w:hAnsi="Times New Roman"/>
          <w:sz w:val="24"/>
          <w:szCs w:val="24"/>
          <w:lang w:eastAsia="lt-LT"/>
        </w:rPr>
        <w:t xml:space="preserve">to </w:t>
      </w:r>
      <w:r w:rsidRPr="006361F3">
        <w:rPr>
          <w:rFonts w:ascii="Times New Roman" w:hAnsi="Times New Roman"/>
          <w:sz w:val="24"/>
          <w:szCs w:val="24"/>
          <w:lang w:eastAsia="lt-LT"/>
        </w:rPr>
        <w:t xml:space="preserve">to make public </w:t>
      </w:r>
      <w:r w:rsidRPr="00F96FA4">
        <w:rPr>
          <w:rFonts w:ascii="Times New Roman" w:hAnsi="Times New Roman"/>
          <w:sz w:val="24"/>
          <w:szCs w:val="24"/>
          <w:lang w:eastAsia="lt-LT"/>
        </w:rPr>
        <w:t>results</w:t>
      </w:r>
      <w:r>
        <w:rPr>
          <w:rFonts w:ascii="Times New Roman" w:hAnsi="Times New Roman"/>
          <w:sz w:val="24"/>
          <w:szCs w:val="24"/>
          <w:lang w:eastAsia="lt-LT"/>
        </w:rPr>
        <w:t xml:space="preserve"> on the voting outcome. STT</w:t>
      </w:r>
      <w:r w:rsidRPr="00F96FA4">
        <w:rPr>
          <w:rFonts w:ascii="Times New Roman" w:hAnsi="Times New Roman"/>
          <w:sz w:val="24"/>
          <w:szCs w:val="24"/>
          <w:lang w:eastAsia="lt-LT"/>
        </w:rPr>
        <w:t xml:space="preserve"> believes that </w:t>
      </w:r>
      <w:r>
        <w:rPr>
          <w:rFonts w:ascii="Times New Roman" w:hAnsi="Times New Roman"/>
          <w:sz w:val="24"/>
          <w:szCs w:val="24"/>
          <w:lang w:eastAsia="lt-LT"/>
        </w:rPr>
        <w:t xml:space="preserve">to ban express </w:t>
      </w:r>
      <w:r w:rsidRPr="00F96FA4">
        <w:rPr>
          <w:rFonts w:ascii="Times New Roman" w:hAnsi="Times New Roman"/>
          <w:sz w:val="24"/>
          <w:szCs w:val="24"/>
          <w:lang w:eastAsia="lt-LT"/>
        </w:rPr>
        <w:t xml:space="preserve">their opinions </w:t>
      </w:r>
      <w:r>
        <w:rPr>
          <w:rFonts w:ascii="Times New Roman" w:hAnsi="Times New Roman"/>
          <w:sz w:val="24"/>
          <w:szCs w:val="24"/>
          <w:lang w:eastAsia="lt-LT"/>
        </w:rPr>
        <w:t>– it means to reduce transparency and publicity</w:t>
      </w:r>
      <w:r>
        <w:rPr>
          <w:rStyle w:val="FootnoteReference"/>
          <w:rFonts w:ascii="Times New Roman" w:hAnsi="Times New Roman"/>
          <w:sz w:val="24"/>
          <w:szCs w:val="24"/>
          <w:lang w:eastAsia="lt-LT"/>
        </w:rPr>
        <w:footnoteReference w:id="7"/>
      </w:r>
      <w:r>
        <w:rPr>
          <w:rFonts w:ascii="Times New Roman" w:hAnsi="Times New Roman"/>
          <w:sz w:val="24"/>
          <w:szCs w:val="24"/>
          <w:lang w:eastAsia="lt-LT"/>
        </w:rPr>
        <w:t>.</w:t>
      </w:r>
    </w:p>
    <w:p w:rsidR="003C08E7" w:rsidRDefault="003C08E7" w:rsidP="009A247C">
      <w:pPr>
        <w:ind w:left="142"/>
        <w:rPr>
          <w:rFonts w:ascii="Times New Roman" w:hAnsi="Times New Roman"/>
          <w:b/>
          <w:sz w:val="24"/>
          <w:szCs w:val="24"/>
        </w:rPr>
      </w:pPr>
    </w:p>
    <w:p w:rsidR="003C08E7" w:rsidRDefault="003C08E7" w:rsidP="009A247C">
      <w:pPr>
        <w:pStyle w:val="ListParagraph"/>
        <w:numPr>
          <w:ilvl w:val="0"/>
          <w:numId w:val="1"/>
        </w:numPr>
        <w:rPr>
          <w:rFonts w:ascii="Times New Roman" w:hAnsi="Times New Roman"/>
          <w:b/>
          <w:sz w:val="24"/>
          <w:szCs w:val="24"/>
        </w:rPr>
      </w:pPr>
      <w:r>
        <w:rPr>
          <w:rFonts w:ascii="Times New Roman" w:hAnsi="Times New Roman"/>
          <w:b/>
          <w:sz w:val="24"/>
          <w:szCs w:val="24"/>
        </w:rPr>
        <w:t xml:space="preserve">Law on Immovable Estate Brokers </w:t>
      </w:r>
    </w:p>
    <w:p w:rsidR="003C08E7" w:rsidRDefault="003C08E7" w:rsidP="00640074">
      <w:pPr>
        <w:ind w:left="142" w:firstLine="360"/>
        <w:jc w:val="both"/>
        <w:rPr>
          <w:rFonts w:ascii="Times New Roman" w:hAnsi="Times New Roman"/>
          <w:sz w:val="24"/>
          <w:szCs w:val="24"/>
        </w:rPr>
      </w:pPr>
      <w:r w:rsidRPr="006361F3">
        <w:rPr>
          <w:rFonts w:ascii="Times New Roman" w:hAnsi="Times New Roman"/>
          <w:sz w:val="24"/>
          <w:szCs w:val="24"/>
          <w:u w:val="single"/>
        </w:rPr>
        <w:t>Situation:</w:t>
      </w:r>
      <w:r w:rsidRPr="006361F3">
        <w:rPr>
          <w:rFonts w:ascii="Times New Roman" w:hAnsi="Times New Roman"/>
          <w:sz w:val="24"/>
          <w:szCs w:val="24"/>
        </w:rPr>
        <w:t xml:space="preserve"> </w:t>
      </w:r>
      <w:r>
        <w:rPr>
          <w:rFonts w:ascii="Times New Roman" w:hAnsi="Times New Roman"/>
          <w:sz w:val="24"/>
          <w:szCs w:val="24"/>
        </w:rPr>
        <w:t>by the a</w:t>
      </w:r>
      <w:r w:rsidRPr="006361F3">
        <w:rPr>
          <w:rFonts w:ascii="Times New Roman" w:hAnsi="Times New Roman"/>
          <w:sz w:val="24"/>
          <w:szCs w:val="24"/>
        </w:rPr>
        <w:t xml:space="preserve">rticle 23 </w:t>
      </w:r>
      <w:r>
        <w:rPr>
          <w:rFonts w:ascii="Times New Roman" w:hAnsi="Times New Roman"/>
          <w:sz w:val="24"/>
          <w:szCs w:val="24"/>
        </w:rPr>
        <w:t xml:space="preserve">of  draft </w:t>
      </w:r>
      <w:r w:rsidRPr="006361F3">
        <w:rPr>
          <w:rFonts w:ascii="Times New Roman" w:hAnsi="Times New Roman"/>
          <w:sz w:val="24"/>
          <w:szCs w:val="24"/>
        </w:rPr>
        <w:t xml:space="preserve">was </w:t>
      </w:r>
      <w:r>
        <w:rPr>
          <w:rFonts w:ascii="Times New Roman" w:hAnsi="Times New Roman"/>
          <w:sz w:val="24"/>
          <w:szCs w:val="24"/>
        </w:rPr>
        <w:t xml:space="preserve">aimed at to clarify to regulate status of  </w:t>
      </w:r>
      <w:r w:rsidRPr="006361F3">
        <w:rPr>
          <w:rFonts w:ascii="Times New Roman" w:hAnsi="Times New Roman"/>
          <w:sz w:val="24"/>
          <w:szCs w:val="24"/>
        </w:rPr>
        <w:t>Immovable e</w:t>
      </w:r>
      <w:r>
        <w:rPr>
          <w:rFonts w:ascii="Times New Roman" w:hAnsi="Times New Roman"/>
          <w:sz w:val="24"/>
          <w:szCs w:val="24"/>
        </w:rPr>
        <w:t>state brokers House of Assembly.</w:t>
      </w:r>
    </w:p>
    <w:p w:rsidR="003C08E7" w:rsidRPr="006361F3" w:rsidRDefault="003C08E7" w:rsidP="009A247C">
      <w:pPr>
        <w:ind w:left="142" w:firstLine="360"/>
        <w:jc w:val="both"/>
        <w:rPr>
          <w:rFonts w:ascii="Times New Roman" w:hAnsi="Times New Roman"/>
          <w:sz w:val="24"/>
          <w:szCs w:val="24"/>
        </w:rPr>
      </w:pPr>
      <w:r w:rsidRPr="00243F90">
        <w:rPr>
          <w:rFonts w:ascii="Times New Roman" w:hAnsi="Times New Roman"/>
          <w:sz w:val="24"/>
          <w:szCs w:val="24"/>
          <w:u w:val="single"/>
        </w:rPr>
        <w:t>Remarks:</w:t>
      </w:r>
      <w:r w:rsidRPr="00243F90">
        <w:rPr>
          <w:rFonts w:ascii="Times New Roman" w:hAnsi="Times New Roman"/>
          <w:sz w:val="24"/>
          <w:szCs w:val="24"/>
        </w:rPr>
        <w:t xml:space="preserve"> </w:t>
      </w:r>
      <w:r>
        <w:rPr>
          <w:rFonts w:ascii="Times New Roman" w:hAnsi="Times New Roman"/>
          <w:sz w:val="24"/>
          <w:szCs w:val="24"/>
        </w:rPr>
        <w:t xml:space="preserve">there isn‘t enough </w:t>
      </w:r>
      <w:r w:rsidRPr="00243F90">
        <w:rPr>
          <w:rFonts w:ascii="Times New Roman" w:hAnsi="Times New Roman"/>
          <w:sz w:val="24"/>
          <w:szCs w:val="24"/>
        </w:rPr>
        <w:t xml:space="preserve">set the general </w:t>
      </w:r>
      <w:r>
        <w:rPr>
          <w:rFonts w:ascii="Times New Roman" w:hAnsi="Times New Roman"/>
          <w:sz w:val="24"/>
          <w:szCs w:val="24"/>
        </w:rPr>
        <w:t xml:space="preserve">competence of </w:t>
      </w:r>
      <w:r w:rsidRPr="00243F90">
        <w:rPr>
          <w:rFonts w:ascii="Times New Roman" w:hAnsi="Times New Roman"/>
          <w:sz w:val="24"/>
          <w:szCs w:val="24"/>
        </w:rPr>
        <w:t>Immovable estate brokers</w:t>
      </w:r>
      <w:r>
        <w:rPr>
          <w:rFonts w:ascii="Times New Roman" w:hAnsi="Times New Roman"/>
          <w:sz w:val="24"/>
          <w:szCs w:val="24"/>
        </w:rPr>
        <w:t xml:space="preserve"> meeting,</w:t>
      </w:r>
      <w:r w:rsidRPr="00243F90">
        <w:rPr>
          <w:rFonts w:ascii="Times New Roman" w:hAnsi="Times New Roman"/>
          <w:sz w:val="24"/>
          <w:szCs w:val="24"/>
        </w:rPr>
        <w:t xml:space="preserve"> </w:t>
      </w:r>
      <w:r w:rsidRPr="00640074">
        <w:rPr>
          <w:rFonts w:ascii="Times New Roman" w:hAnsi="Times New Roman"/>
          <w:sz w:val="24"/>
          <w:szCs w:val="24"/>
        </w:rPr>
        <w:t xml:space="preserve">not to impose </w:t>
      </w:r>
      <w:r w:rsidRPr="00243F90">
        <w:rPr>
          <w:rFonts w:ascii="Times New Roman" w:hAnsi="Times New Roman"/>
          <w:sz w:val="24"/>
          <w:szCs w:val="24"/>
        </w:rPr>
        <w:t>necessary number of members</w:t>
      </w:r>
      <w:r>
        <w:rPr>
          <w:rFonts w:ascii="Times New Roman" w:hAnsi="Times New Roman"/>
          <w:sz w:val="24"/>
          <w:szCs w:val="24"/>
        </w:rPr>
        <w:t>,</w:t>
      </w:r>
      <w:r w:rsidRPr="00243F90">
        <w:rPr>
          <w:rFonts w:ascii="Times New Roman" w:hAnsi="Times New Roman"/>
          <w:sz w:val="24"/>
          <w:szCs w:val="24"/>
        </w:rPr>
        <w:t xml:space="preserve"> at which a gene</w:t>
      </w:r>
      <w:r>
        <w:rPr>
          <w:rFonts w:ascii="Times New Roman" w:hAnsi="Times New Roman"/>
          <w:sz w:val="24"/>
          <w:szCs w:val="24"/>
        </w:rPr>
        <w:t>ral Immovable estate brokerage meeting can</w:t>
      </w:r>
      <w:r w:rsidRPr="00243F90">
        <w:rPr>
          <w:rFonts w:ascii="Times New Roman" w:hAnsi="Times New Roman"/>
          <w:sz w:val="24"/>
          <w:szCs w:val="24"/>
        </w:rPr>
        <w:t xml:space="preserve"> be valid, </w:t>
      </w:r>
      <w:r w:rsidRPr="00640074">
        <w:rPr>
          <w:rFonts w:ascii="Times New Roman" w:hAnsi="Times New Roman"/>
          <w:sz w:val="24"/>
          <w:szCs w:val="24"/>
        </w:rPr>
        <w:t xml:space="preserve">not to impose </w:t>
      </w:r>
      <w:r w:rsidRPr="00243F90">
        <w:rPr>
          <w:rFonts w:ascii="Times New Roman" w:hAnsi="Times New Roman"/>
          <w:sz w:val="24"/>
          <w:szCs w:val="24"/>
        </w:rPr>
        <w:t xml:space="preserve">decision-making procedures, </w:t>
      </w:r>
      <w:r>
        <w:rPr>
          <w:rFonts w:ascii="Times New Roman" w:hAnsi="Times New Roman"/>
          <w:sz w:val="24"/>
          <w:szCs w:val="24"/>
        </w:rPr>
        <w:t>also</w:t>
      </w:r>
      <w:r w:rsidRPr="00243F90">
        <w:rPr>
          <w:rFonts w:ascii="Times New Roman" w:hAnsi="Times New Roman"/>
          <w:sz w:val="24"/>
          <w:szCs w:val="24"/>
        </w:rPr>
        <w:t xml:space="preserve"> the decision-making procedure where </w:t>
      </w:r>
      <w:r>
        <w:rPr>
          <w:rFonts w:ascii="Times New Roman" w:hAnsi="Times New Roman"/>
          <w:sz w:val="24"/>
          <w:szCs w:val="24"/>
        </w:rPr>
        <w:t xml:space="preserve">not </w:t>
      </w:r>
      <w:r w:rsidRPr="009A247C">
        <w:rPr>
          <w:rFonts w:ascii="Times New Roman" w:hAnsi="Times New Roman"/>
          <w:sz w:val="24"/>
          <w:szCs w:val="24"/>
        </w:rPr>
        <w:t xml:space="preserve">gather </w:t>
      </w:r>
      <w:r>
        <w:rPr>
          <w:rFonts w:ascii="Times New Roman" w:hAnsi="Times New Roman"/>
          <w:sz w:val="24"/>
          <w:szCs w:val="24"/>
        </w:rPr>
        <w:t xml:space="preserve"> the quorum</w:t>
      </w:r>
      <w:r w:rsidRPr="00243F90">
        <w:rPr>
          <w:rFonts w:ascii="Times New Roman" w:hAnsi="Times New Roman"/>
          <w:sz w:val="24"/>
          <w:szCs w:val="24"/>
        </w:rPr>
        <w:t xml:space="preserve">, so it must be concluded that </w:t>
      </w:r>
      <w:r>
        <w:rPr>
          <w:rFonts w:ascii="Times New Roman" w:hAnsi="Times New Roman"/>
          <w:sz w:val="24"/>
          <w:szCs w:val="24"/>
        </w:rPr>
        <w:t xml:space="preserve">general </w:t>
      </w:r>
      <w:r w:rsidRPr="00243F90">
        <w:rPr>
          <w:rFonts w:ascii="Times New Roman" w:hAnsi="Times New Roman"/>
          <w:sz w:val="24"/>
          <w:szCs w:val="24"/>
        </w:rPr>
        <w:t>Immovable estate brokerage members meeting and decision-making procedures</w:t>
      </w:r>
      <w:r>
        <w:rPr>
          <w:rFonts w:ascii="Times New Roman" w:hAnsi="Times New Roman"/>
          <w:sz w:val="24"/>
          <w:szCs w:val="24"/>
        </w:rPr>
        <w:t xml:space="preserve"> isn‘t enough</w:t>
      </w:r>
      <w:r w:rsidRPr="00243F90">
        <w:rPr>
          <w:rFonts w:ascii="Times New Roman" w:hAnsi="Times New Roman"/>
          <w:sz w:val="24"/>
          <w:szCs w:val="24"/>
        </w:rPr>
        <w:t xml:space="preserve"> </w:t>
      </w:r>
      <w:r>
        <w:rPr>
          <w:rFonts w:ascii="Times New Roman" w:hAnsi="Times New Roman"/>
          <w:sz w:val="24"/>
          <w:szCs w:val="24"/>
        </w:rPr>
        <w:t>regulated, the STT proposes</w:t>
      </w:r>
      <w:r w:rsidRPr="00243F90">
        <w:rPr>
          <w:rFonts w:ascii="Times New Roman" w:hAnsi="Times New Roman"/>
          <w:sz w:val="24"/>
          <w:szCs w:val="24"/>
        </w:rPr>
        <w:t xml:space="preserve"> to improve these </w:t>
      </w:r>
      <w:r>
        <w:rPr>
          <w:rFonts w:ascii="Times New Roman" w:hAnsi="Times New Roman"/>
          <w:sz w:val="24"/>
          <w:szCs w:val="24"/>
        </w:rPr>
        <w:t>provisions</w:t>
      </w:r>
      <w:r>
        <w:rPr>
          <w:rStyle w:val="FootnoteReference"/>
          <w:rFonts w:ascii="Times New Roman" w:hAnsi="Times New Roman"/>
          <w:sz w:val="24"/>
          <w:szCs w:val="24"/>
        </w:rPr>
        <w:footnoteReference w:id="8"/>
      </w:r>
      <w:r>
        <w:rPr>
          <w:rFonts w:ascii="Times New Roman" w:hAnsi="Times New Roman"/>
          <w:sz w:val="24"/>
          <w:szCs w:val="24"/>
        </w:rPr>
        <w:t>.</w:t>
      </w:r>
    </w:p>
    <w:sectPr w:rsidR="003C08E7" w:rsidRPr="006361F3" w:rsidSect="00761386">
      <w:footerReference w:type="default" r:id="rId7"/>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8E7" w:rsidRDefault="003C08E7" w:rsidP="00967CC5">
      <w:pPr>
        <w:spacing w:after="0" w:line="240" w:lineRule="auto"/>
      </w:pPr>
      <w:r>
        <w:separator/>
      </w:r>
    </w:p>
  </w:endnote>
  <w:endnote w:type="continuationSeparator" w:id="0">
    <w:p w:rsidR="003C08E7" w:rsidRDefault="003C08E7" w:rsidP="00967C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8E7" w:rsidRDefault="003C08E7">
    <w:pPr>
      <w:pStyle w:val="Footer"/>
      <w:jc w:val="center"/>
    </w:pPr>
    <w:fldSimple w:instr=" PAGE   \* MERGEFORMAT ">
      <w:r>
        <w:rPr>
          <w:noProof/>
        </w:rPr>
        <w:t>1</w:t>
      </w:r>
    </w:fldSimple>
  </w:p>
  <w:p w:rsidR="003C08E7" w:rsidRDefault="003C08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8E7" w:rsidRDefault="003C08E7" w:rsidP="00967CC5">
      <w:pPr>
        <w:spacing w:after="0" w:line="240" w:lineRule="auto"/>
      </w:pPr>
      <w:r>
        <w:separator/>
      </w:r>
    </w:p>
  </w:footnote>
  <w:footnote w:type="continuationSeparator" w:id="0">
    <w:p w:rsidR="003C08E7" w:rsidRDefault="003C08E7" w:rsidP="00967CC5">
      <w:pPr>
        <w:spacing w:after="0" w:line="240" w:lineRule="auto"/>
      </w:pPr>
      <w:r>
        <w:continuationSeparator/>
      </w:r>
    </w:p>
  </w:footnote>
  <w:footnote w:id="1">
    <w:p w:rsidR="003C08E7" w:rsidRDefault="003C08E7">
      <w:pPr>
        <w:pStyle w:val="FootnoteText"/>
      </w:pPr>
      <w:r w:rsidRPr="00470613">
        <w:rPr>
          <w:rStyle w:val="FootnoteReference"/>
        </w:rPr>
        <w:footnoteRef/>
      </w:r>
      <w:r w:rsidRPr="00470613">
        <w:t xml:space="preserve"> STT‘s official page, </w:t>
      </w:r>
      <w:hyperlink r:id="rId1" w:history="1">
        <w:r w:rsidRPr="00470613">
          <w:rPr>
            <w:rStyle w:val="Hyperlink"/>
            <w:color w:val="auto"/>
          </w:rPr>
          <w:t>http://www.stt.lt/documents/ivertinti_teises_aktai_2012/2012_10_26_misku_istatymo_projektas.pdf</w:t>
        </w:r>
      </w:hyperlink>
      <w:r w:rsidRPr="00470613">
        <w:t>.</w:t>
      </w:r>
    </w:p>
  </w:footnote>
  <w:footnote w:id="2">
    <w:p w:rsidR="003C08E7" w:rsidRDefault="003C08E7">
      <w:pPr>
        <w:pStyle w:val="FootnoteText"/>
      </w:pPr>
      <w:r w:rsidRPr="00470613">
        <w:rPr>
          <w:rStyle w:val="FootnoteReference"/>
        </w:rPr>
        <w:footnoteRef/>
      </w:r>
      <w:r w:rsidRPr="00470613">
        <w:t xml:space="preserve"> STT‘s official page, &lt; http://www.stt.lt/documents/vertinti_teises_aktai_2011/2011_03_31_viesuju_pirkimu_istatymo_15_str.pdf &gt;.</w:t>
      </w:r>
    </w:p>
  </w:footnote>
  <w:footnote w:id="3">
    <w:p w:rsidR="003C08E7" w:rsidRDefault="003C08E7">
      <w:pPr>
        <w:pStyle w:val="FootnoteText"/>
      </w:pPr>
      <w:r w:rsidRPr="00470613">
        <w:rPr>
          <w:rStyle w:val="FootnoteReference"/>
        </w:rPr>
        <w:footnoteRef/>
      </w:r>
      <w:r w:rsidRPr="00470613">
        <w:t xml:space="preserve"> STT‘s official page, &lt; </w:t>
      </w:r>
      <w:hyperlink r:id="rId2" w:history="1">
        <w:r w:rsidRPr="00470613">
          <w:rPr>
            <w:rStyle w:val="Hyperlink"/>
            <w:color w:val="auto"/>
          </w:rPr>
          <w:t>http://www.stt.lt/lt/menu/korupcijos-prevencija/teises-aktu-antikorupcinis-vertinimas/viesieji-pirkimai/</w:t>
        </w:r>
      </w:hyperlink>
      <w:r w:rsidRPr="00470613">
        <w:t>&gt;, 19 05 2014 assessment.</w:t>
      </w:r>
    </w:p>
  </w:footnote>
  <w:footnote w:id="4">
    <w:p w:rsidR="003C08E7" w:rsidRDefault="003C08E7">
      <w:pPr>
        <w:pStyle w:val="FootnoteText"/>
      </w:pPr>
      <w:r w:rsidRPr="00470613">
        <w:rPr>
          <w:rStyle w:val="FootnoteReference"/>
        </w:rPr>
        <w:footnoteRef/>
      </w:r>
      <w:r w:rsidRPr="00470613">
        <w:t xml:space="preserve"> STT‘s official page, </w:t>
      </w:r>
      <w:hyperlink r:id="rId3" w:history="1">
        <w:r w:rsidRPr="00470613">
          <w:rPr>
            <w:rStyle w:val="Hyperlink"/>
            <w:color w:val="auto"/>
          </w:rPr>
          <w:t>http://www.stt.lt/documents/ivertinti_teises_aktai_2013/4-01-6841_VLK.pdf</w:t>
        </w:r>
      </w:hyperlink>
      <w:r w:rsidRPr="00470613">
        <w:t>.</w:t>
      </w:r>
    </w:p>
  </w:footnote>
  <w:footnote w:id="5">
    <w:p w:rsidR="003C08E7" w:rsidRDefault="003C08E7">
      <w:pPr>
        <w:pStyle w:val="FootnoteText"/>
      </w:pPr>
      <w:r w:rsidRPr="00470613">
        <w:rPr>
          <w:rStyle w:val="FootnoteReference"/>
        </w:rPr>
        <w:footnoteRef/>
      </w:r>
      <w:r w:rsidRPr="00470613">
        <w:t xml:space="preserve"> STT‘s official page, &lt;</w:t>
      </w:r>
      <w:hyperlink r:id="rId4" w:history="1">
        <w:r w:rsidRPr="00470613">
          <w:rPr>
            <w:rStyle w:val="Hyperlink"/>
            <w:color w:val="auto"/>
          </w:rPr>
          <w:t>http://www.stt.lt/documents/ivertinti_teises_aktai_2014/farmacijos_ist_nereceptiniai_vaistai.PDF</w:t>
        </w:r>
      </w:hyperlink>
      <w:r w:rsidRPr="00470613">
        <w:t xml:space="preserve">&gt;. </w:t>
      </w:r>
    </w:p>
  </w:footnote>
  <w:footnote w:id="6">
    <w:p w:rsidR="003C08E7" w:rsidRDefault="003C08E7">
      <w:pPr>
        <w:pStyle w:val="FootnoteText"/>
      </w:pPr>
      <w:r w:rsidRPr="00470613">
        <w:rPr>
          <w:rStyle w:val="FootnoteReference"/>
        </w:rPr>
        <w:footnoteRef/>
      </w:r>
      <w:r w:rsidRPr="00470613">
        <w:t xml:space="preserve"> STT‘s official page, &lt; http://www.stt.lt/documents/vertinti_teises_aktai_2011/2011_05_09_zemes_gelmiu_istatymas.pdf&gt;.</w:t>
      </w:r>
    </w:p>
  </w:footnote>
  <w:footnote w:id="7">
    <w:p w:rsidR="003C08E7" w:rsidRDefault="003C08E7">
      <w:pPr>
        <w:pStyle w:val="FootnoteText"/>
      </w:pPr>
      <w:r w:rsidRPr="00470613">
        <w:rPr>
          <w:rStyle w:val="FootnoteReference"/>
        </w:rPr>
        <w:footnoteRef/>
      </w:r>
      <w:r w:rsidRPr="00470613">
        <w:t xml:space="preserve"> STT‘s official page, &lt; http://www.stt.lt/documents/ivertinti_teises_aktai_2014/VTEK_4-01-66.pdf&gt;.</w:t>
      </w:r>
    </w:p>
  </w:footnote>
  <w:footnote w:id="8">
    <w:p w:rsidR="003C08E7" w:rsidRDefault="003C08E7">
      <w:pPr>
        <w:pStyle w:val="FootnoteText"/>
      </w:pPr>
      <w:r w:rsidRPr="00470613">
        <w:rPr>
          <w:rStyle w:val="FootnoteReference"/>
        </w:rPr>
        <w:footnoteRef/>
      </w:r>
      <w:r w:rsidRPr="00470613">
        <w:t xml:space="preserve"> STT‘s official page, &lt; </w:t>
      </w:r>
      <w:hyperlink r:id="rId5" w:history="1">
        <w:r w:rsidRPr="00470613">
          <w:rPr>
            <w:rStyle w:val="Hyperlink"/>
            <w:color w:val="auto"/>
          </w:rPr>
          <w:t>http://www.stt.lt/lt/menu/korupcijos-prevencija/teises-aktu-antikorupcinis-vertinimas/teritoriju-planavimas-ir-statybu-valstybine-prieziura/</w:t>
        </w:r>
      </w:hyperlink>
      <w:r w:rsidRPr="00470613">
        <w:t>&gt;, 01 04 2014 assessment.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555A3"/>
    <w:multiLevelType w:val="hybridMultilevel"/>
    <w:tmpl w:val="A3AA382C"/>
    <w:lvl w:ilvl="0" w:tplc="0427000F">
      <w:start w:val="1"/>
      <w:numFmt w:val="decimal"/>
      <w:lvlText w:val="%1."/>
      <w:lvlJc w:val="left"/>
      <w:pPr>
        <w:ind w:left="502"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7E60"/>
    <w:rsid w:val="000509D7"/>
    <w:rsid w:val="000C7E60"/>
    <w:rsid w:val="00243F90"/>
    <w:rsid w:val="002F33F7"/>
    <w:rsid w:val="003C08E7"/>
    <w:rsid w:val="00470613"/>
    <w:rsid w:val="004B0D62"/>
    <w:rsid w:val="004C0643"/>
    <w:rsid w:val="005E6934"/>
    <w:rsid w:val="006361F3"/>
    <w:rsid w:val="00640074"/>
    <w:rsid w:val="00693B99"/>
    <w:rsid w:val="006A4E79"/>
    <w:rsid w:val="006B7794"/>
    <w:rsid w:val="006F02C8"/>
    <w:rsid w:val="007329D8"/>
    <w:rsid w:val="00761386"/>
    <w:rsid w:val="007778F0"/>
    <w:rsid w:val="008311E8"/>
    <w:rsid w:val="0096101C"/>
    <w:rsid w:val="00967CC5"/>
    <w:rsid w:val="009A247C"/>
    <w:rsid w:val="009D4792"/>
    <w:rsid w:val="00A0124F"/>
    <w:rsid w:val="00B93F5C"/>
    <w:rsid w:val="00C12585"/>
    <w:rsid w:val="00C201BE"/>
    <w:rsid w:val="00C27BA6"/>
    <w:rsid w:val="00C518EA"/>
    <w:rsid w:val="00D97BF3"/>
    <w:rsid w:val="00DF35DB"/>
    <w:rsid w:val="00E35C20"/>
    <w:rsid w:val="00E576B5"/>
    <w:rsid w:val="00E6386C"/>
    <w:rsid w:val="00E75381"/>
    <w:rsid w:val="00F1528A"/>
    <w:rsid w:val="00F83A21"/>
    <w:rsid w:val="00F96FA4"/>
    <w:rsid w:val="00FC6A07"/>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E6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C7E60"/>
    <w:pPr>
      <w:ind w:left="720"/>
      <w:contextualSpacing/>
    </w:pPr>
  </w:style>
  <w:style w:type="character" w:customStyle="1" w:styleId="hps">
    <w:name w:val="hps"/>
    <w:basedOn w:val="DefaultParagraphFont"/>
    <w:uiPriority w:val="99"/>
    <w:rsid w:val="0096101C"/>
    <w:rPr>
      <w:rFonts w:cs="Times New Roman"/>
    </w:rPr>
  </w:style>
  <w:style w:type="paragraph" w:styleId="FootnoteText">
    <w:name w:val="footnote text"/>
    <w:basedOn w:val="Normal"/>
    <w:link w:val="FootnoteTextChar"/>
    <w:uiPriority w:val="99"/>
    <w:semiHidden/>
    <w:rsid w:val="00967CC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67CC5"/>
    <w:rPr>
      <w:rFonts w:cs="Times New Roman"/>
      <w:sz w:val="20"/>
      <w:szCs w:val="20"/>
    </w:rPr>
  </w:style>
  <w:style w:type="character" w:styleId="FootnoteReference">
    <w:name w:val="footnote reference"/>
    <w:basedOn w:val="DefaultParagraphFont"/>
    <w:uiPriority w:val="99"/>
    <w:semiHidden/>
    <w:rsid w:val="00967CC5"/>
    <w:rPr>
      <w:rFonts w:cs="Times New Roman"/>
      <w:vertAlign w:val="superscript"/>
    </w:rPr>
  </w:style>
  <w:style w:type="character" w:styleId="Hyperlink">
    <w:name w:val="Hyperlink"/>
    <w:basedOn w:val="DefaultParagraphFont"/>
    <w:uiPriority w:val="99"/>
    <w:rsid w:val="00967CC5"/>
    <w:rPr>
      <w:rFonts w:cs="Times New Roman"/>
      <w:color w:val="0000FF"/>
      <w:u w:val="single"/>
    </w:rPr>
  </w:style>
  <w:style w:type="paragraph" w:styleId="Header">
    <w:name w:val="header"/>
    <w:basedOn w:val="Normal"/>
    <w:link w:val="HeaderChar"/>
    <w:uiPriority w:val="99"/>
    <w:semiHidden/>
    <w:rsid w:val="00C27BA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C27BA6"/>
    <w:rPr>
      <w:rFonts w:cs="Times New Roman"/>
    </w:rPr>
  </w:style>
  <w:style w:type="paragraph" w:styleId="Footer">
    <w:name w:val="footer"/>
    <w:basedOn w:val="Normal"/>
    <w:link w:val="FooterChar"/>
    <w:uiPriority w:val="99"/>
    <w:rsid w:val="00C27BA6"/>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C27BA6"/>
    <w:rPr>
      <w:rFonts w:cs="Times New Roman"/>
    </w:rPr>
  </w:style>
  <w:style w:type="paragraph" w:styleId="DocumentMap">
    <w:name w:val="Document Map"/>
    <w:basedOn w:val="Normal"/>
    <w:link w:val="DocumentMapChar"/>
    <w:uiPriority w:val="99"/>
    <w:semiHidden/>
    <w:rsid w:val="005E693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73F25"/>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815075657">
      <w:marLeft w:val="0"/>
      <w:marRight w:val="0"/>
      <w:marTop w:val="0"/>
      <w:marBottom w:val="0"/>
      <w:divBdr>
        <w:top w:val="none" w:sz="0" w:space="0" w:color="auto"/>
        <w:left w:val="none" w:sz="0" w:space="0" w:color="auto"/>
        <w:bottom w:val="none" w:sz="0" w:space="0" w:color="auto"/>
        <w:right w:val="none" w:sz="0" w:space="0" w:color="auto"/>
      </w:divBdr>
      <w:divsChild>
        <w:div w:id="815075659">
          <w:marLeft w:val="0"/>
          <w:marRight w:val="0"/>
          <w:marTop w:val="0"/>
          <w:marBottom w:val="0"/>
          <w:divBdr>
            <w:top w:val="none" w:sz="0" w:space="0" w:color="auto"/>
            <w:left w:val="none" w:sz="0" w:space="0" w:color="auto"/>
            <w:bottom w:val="none" w:sz="0" w:space="0" w:color="auto"/>
            <w:right w:val="none" w:sz="0" w:space="0" w:color="auto"/>
          </w:divBdr>
          <w:divsChild>
            <w:div w:id="8150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tt.lt/documents/ivertinti_teises_aktai_2013/4-01-6841_VLK.pdf" TargetMode="External"/><Relationship Id="rId2" Type="http://schemas.openxmlformats.org/officeDocument/2006/relationships/hyperlink" Target="http://www.stt.lt/lt/menu/korupcijos-prevencija/teises-aktu-antikorupcinis-vertinimas/viesieji-pirkimai/" TargetMode="External"/><Relationship Id="rId1" Type="http://schemas.openxmlformats.org/officeDocument/2006/relationships/hyperlink" Target="http://www.stt.lt/documents/ivertinti_teises_aktai_2012/2012_10_26_misku_istatymo_projektas.pdf" TargetMode="External"/><Relationship Id="rId5" Type="http://schemas.openxmlformats.org/officeDocument/2006/relationships/hyperlink" Target="http://www.stt.lt/lt/menu/korupcijos-prevencija/teises-aktu-antikorupcinis-vertinimas/teritoriju-planavimas-ir-statybu-valstybine-prieziura/" TargetMode="External"/><Relationship Id="rId4" Type="http://schemas.openxmlformats.org/officeDocument/2006/relationships/hyperlink" Target="http://www.stt.lt/documents/ivertinti_teises_aktai_2014/farmacijos_ist_nereceptiniai_vaista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4524</Words>
  <Characters>2579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EXAMPLES OF ANTI-CORRUPTION ASSESSMENT</dc:title>
  <dc:subject/>
  <dc:creator>Studentai</dc:creator>
  <cp:keywords/>
  <dc:description/>
  <cp:lastModifiedBy>Ramune</cp:lastModifiedBy>
  <cp:revision>2</cp:revision>
  <dcterms:created xsi:type="dcterms:W3CDTF">2015-03-02T12:11:00Z</dcterms:created>
  <dcterms:modified xsi:type="dcterms:W3CDTF">2015-03-02T12:11:00Z</dcterms:modified>
</cp:coreProperties>
</file>